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9F9A7" w14:textId="77777777" w:rsidR="00ED796B" w:rsidRDefault="00A32F60" w:rsidP="00A32F60">
      <w:pPr>
        <w:jc w:val="center"/>
        <w:rPr>
          <w:b/>
          <w:bCs/>
          <w:sz w:val="44"/>
          <w:szCs w:val="44"/>
        </w:rPr>
      </w:pPr>
      <w:r w:rsidRPr="00A32F60">
        <w:rPr>
          <w:b/>
          <w:bCs/>
          <w:sz w:val="44"/>
          <w:szCs w:val="44"/>
        </w:rPr>
        <w:t>Sahtu Dene Council</w:t>
      </w:r>
    </w:p>
    <w:p w14:paraId="543431CC" w14:textId="4E605BAE" w:rsidR="00A32F60" w:rsidRPr="00A32F60" w:rsidRDefault="00A32F60" w:rsidP="00A32F60">
      <w:pPr>
        <w:jc w:val="center"/>
        <w:rPr>
          <w:b/>
          <w:bCs/>
          <w:sz w:val="44"/>
          <w:szCs w:val="44"/>
        </w:rPr>
      </w:pPr>
      <w:r w:rsidRPr="00A32F60">
        <w:rPr>
          <w:b/>
          <w:bCs/>
          <w:sz w:val="44"/>
          <w:szCs w:val="44"/>
        </w:rPr>
        <w:t xml:space="preserve"> University College Entrance </w:t>
      </w:r>
      <w:r w:rsidR="003C7391">
        <w:rPr>
          <w:b/>
          <w:bCs/>
          <w:sz w:val="44"/>
          <w:szCs w:val="44"/>
        </w:rPr>
        <w:t>-</w:t>
      </w:r>
      <w:r w:rsidRPr="00A32F60">
        <w:rPr>
          <w:b/>
          <w:bCs/>
          <w:sz w:val="44"/>
          <w:szCs w:val="44"/>
        </w:rPr>
        <w:t>Preparation Program</w:t>
      </w:r>
      <w:r w:rsidR="00A81950">
        <w:rPr>
          <w:b/>
          <w:bCs/>
          <w:sz w:val="44"/>
          <w:szCs w:val="44"/>
        </w:rPr>
        <w:t xml:space="preserve"> </w:t>
      </w:r>
      <w:r w:rsidR="00F40C2A">
        <w:rPr>
          <w:b/>
          <w:bCs/>
          <w:sz w:val="44"/>
          <w:szCs w:val="44"/>
        </w:rPr>
        <w:t xml:space="preserve">(UCEPP) </w:t>
      </w:r>
      <w:r w:rsidR="00A81950">
        <w:rPr>
          <w:b/>
          <w:bCs/>
          <w:sz w:val="44"/>
          <w:szCs w:val="44"/>
        </w:rPr>
        <w:t>Application Guidelines</w:t>
      </w:r>
    </w:p>
    <w:p w14:paraId="71673799" w14:textId="77777777" w:rsidR="00A32F60" w:rsidRDefault="00A32F60" w:rsidP="00A32F60"/>
    <w:p w14:paraId="00FF8449" w14:textId="77777777" w:rsidR="00705FB6" w:rsidRDefault="00705FB6" w:rsidP="00A32F60"/>
    <w:p w14:paraId="5C0E3A54" w14:textId="2D05411A" w:rsidR="00705FB6" w:rsidRPr="00705FB6" w:rsidRDefault="00705FB6" w:rsidP="00A32F60">
      <w:pPr>
        <w:rPr>
          <w:b/>
          <w:bCs/>
        </w:rPr>
      </w:pPr>
      <w:r w:rsidRPr="00705FB6">
        <w:rPr>
          <w:b/>
          <w:bCs/>
        </w:rPr>
        <w:tab/>
        <w:t>About the Program</w:t>
      </w:r>
    </w:p>
    <w:p w14:paraId="5FF2A74B" w14:textId="65AAC4D9" w:rsidR="00CB73A3" w:rsidRDefault="00CB73A3" w:rsidP="00F40C2A">
      <w:pPr>
        <w:ind w:left="720"/>
        <w:rPr>
          <w:lang w:val="en-US"/>
        </w:rPr>
      </w:pPr>
      <w:r>
        <w:rPr>
          <w:lang w:val="en-US"/>
        </w:rPr>
        <w:t xml:space="preserve">UCEP is a </w:t>
      </w:r>
      <w:r w:rsidR="00A81950">
        <w:rPr>
          <w:lang w:val="en-US"/>
        </w:rPr>
        <w:t xml:space="preserve">non-repayable </w:t>
      </w:r>
      <w:r w:rsidR="00F823AB">
        <w:rPr>
          <w:lang w:val="en-US"/>
        </w:rPr>
        <w:t xml:space="preserve">one-year </w:t>
      </w:r>
      <w:r w:rsidR="00A81950">
        <w:rPr>
          <w:lang w:val="en-US"/>
        </w:rPr>
        <w:t xml:space="preserve">funding support </w:t>
      </w:r>
      <w:r w:rsidR="00D974C9">
        <w:rPr>
          <w:lang w:val="en-US"/>
        </w:rPr>
        <w:t xml:space="preserve">program </w:t>
      </w:r>
      <w:r w:rsidR="00A81950">
        <w:rPr>
          <w:lang w:val="en-US"/>
        </w:rPr>
        <w:t xml:space="preserve">to </w:t>
      </w:r>
      <w:r w:rsidR="00F823AB">
        <w:rPr>
          <w:lang w:val="en-US"/>
        </w:rPr>
        <w:t>prepare and help transi</w:t>
      </w:r>
      <w:r w:rsidR="00A81950">
        <w:rPr>
          <w:lang w:val="en-US"/>
        </w:rPr>
        <w:t xml:space="preserve">tion </w:t>
      </w:r>
      <w:r w:rsidR="00F823AB">
        <w:rPr>
          <w:lang w:val="en-US"/>
        </w:rPr>
        <w:t xml:space="preserve">eligible indigenous Sahtu </w:t>
      </w:r>
      <w:r w:rsidR="00A81950">
        <w:rPr>
          <w:lang w:val="en-US"/>
        </w:rPr>
        <w:t xml:space="preserve">students from high school into full-time studies leading to a degree or diploma at a recognized Canadian post-secondary institution. </w:t>
      </w:r>
    </w:p>
    <w:p w14:paraId="14266671" w14:textId="69B55087" w:rsidR="00ED796B" w:rsidRDefault="00426E3F" w:rsidP="00F40C2A">
      <w:pPr>
        <w:ind w:left="720"/>
        <w:rPr>
          <w:lang w:val="en-US"/>
        </w:rPr>
      </w:pPr>
      <w:r>
        <w:rPr>
          <w:lang w:val="en-US"/>
        </w:rPr>
        <w:t>F</w:t>
      </w:r>
      <w:r w:rsidR="00F823AB">
        <w:rPr>
          <w:lang w:val="en-US"/>
        </w:rPr>
        <w:t xml:space="preserve">unding support </w:t>
      </w:r>
      <w:r w:rsidR="00CB73A3">
        <w:rPr>
          <w:lang w:val="en-US"/>
        </w:rPr>
        <w:t xml:space="preserve">is available </w:t>
      </w:r>
      <w:r w:rsidR="00ED796B">
        <w:rPr>
          <w:lang w:val="en-US"/>
        </w:rPr>
        <w:t xml:space="preserve">for </w:t>
      </w:r>
      <w:r w:rsidR="00F823AB">
        <w:rPr>
          <w:lang w:val="en-US"/>
        </w:rPr>
        <w:t>one</w:t>
      </w:r>
      <w:r w:rsidR="00ED796B">
        <w:rPr>
          <w:lang w:val="en-US"/>
        </w:rPr>
        <w:t xml:space="preserve"> </w:t>
      </w:r>
      <w:r w:rsidR="00F823AB">
        <w:rPr>
          <w:lang w:val="en-US"/>
        </w:rPr>
        <w:t xml:space="preserve">time </w:t>
      </w:r>
      <w:r w:rsidR="00CB73A3">
        <w:rPr>
          <w:lang w:val="en-US"/>
        </w:rPr>
        <w:t xml:space="preserve">per student for one post-secondary </w:t>
      </w:r>
      <w:r w:rsidR="00ED796B">
        <w:rPr>
          <w:lang w:val="en-US"/>
        </w:rPr>
        <w:t xml:space="preserve">University College Entrance Preparation school year. At the completion of one year of </w:t>
      </w:r>
      <w:r w:rsidR="00DC0AA0">
        <w:rPr>
          <w:lang w:val="en-US"/>
        </w:rPr>
        <w:t>UCEP, s</w:t>
      </w:r>
      <w:r w:rsidR="00ED796B">
        <w:rPr>
          <w:lang w:val="en-US"/>
        </w:rPr>
        <w:t xml:space="preserve">tudents are expected to commence a </w:t>
      </w:r>
      <w:proofErr w:type="gramStart"/>
      <w:r w:rsidR="00ED796B">
        <w:rPr>
          <w:lang w:val="en-US"/>
        </w:rPr>
        <w:t>2-4 year</w:t>
      </w:r>
      <w:proofErr w:type="gramEnd"/>
      <w:r w:rsidR="00ED796B">
        <w:rPr>
          <w:lang w:val="en-US"/>
        </w:rPr>
        <w:t xml:space="preserve"> degree or diploma program and a recognized Canadian university or college. </w:t>
      </w:r>
    </w:p>
    <w:p w14:paraId="40B800D6" w14:textId="3A612600" w:rsidR="00CB73A3" w:rsidRDefault="00DC0AA0" w:rsidP="00F40C2A">
      <w:pPr>
        <w:ind w:left="720"/>
        <w:rPr>
          <w:lang w:val="en-US"/>
        </w:rPr>
      </w:pPr>
      <w:r>
        <w:rPr>
          <w:lang w:val="en-US"/>
        </w:rPr>
        <w:t>UCEPP s</w:t>
      </w:r>
      <w:r w:rsidR="00570275">
        <w:rPr>
          <w:lang w:val="en-US"/>
        </w:rPr>
        <w:t xml:space="preserve">upport </w:t>
      </w:r>
      <w:r w:rsidR="00D974C9">
        <w:rPr>
          <w:lang w:val="en-US"/>
        </w:rPr>
        <w:t xml:space="preserve">generally includes </w:t>
      </w:r>
      <w:r w:rsidR="00CB73A3">
        <w:rPr>
          <w:lang w:val="en-US"/>
        </w:rPr>
        <w:t>living allowance assistance, travel</w:t>
      </w:r>
      <w:r w:rsidR="00426E3F">
        <w:rPr>
          <w:lang w:val="en-US"/>
        </w:rPr>
        <w:t xml:space="preserve"> costs</w:t>
      </w:r>
      <w:r w:rsidR="00CB73A3">
        <w:rPr>
          <w:lang w:val="en-US"/>
        </w:rPr>
        <w:t xml:space="preserve">, </w:t>
      </w:r>
      <w:proofErr w:type="gramStart"/>
      <w:r w:rsidR="00CB73A3">
        <w:rPr>
          <w:lang w:val="en-US"/>
        </w:rPr>
        <w:t>tuition</w:t>
      </w:r>
      <w:proofErr w:type="gramEnd"/>
      <w:r w:rsidR="00CB73A3">
        <w:rPr>
          <w:lang w:val="en-US"/>
        </w:rPr>
        <w:t xml:space="preserve"> and other related costs.</w:t>
      </w:r>
    </w:p>
    <w:p w14:paraId="3C5C719E" w14:textId="6D122189" w:rsidR="00DC0AA0" w:rsidRDefault="004A2D46" w:rsidP="00F40C2A">
      <w:pPr>
        <w:ind w:left="720"/>
        <w:rPr>
          <w:lang w:val="en-US"/>
        </w:rPr>
      </w:pPr>
      <w:r w:rsidRPr="004A2D46">
        <w:rPr>
          <w:lang w:val="en-US"/>
        </w:rPr>
        <w:t xml:space="preserve">The objective </w:t>
      </w:r>
      <w:r w:rsidR="00D974C9">
        <w:rPr>
          <w:lang w:val="en-US"/>
        </w:rPr>
        <w:t xml:space="preserve">of the program </w:t>
      </w:r>
      <w:r w:rsidRPr="004A2D46">
        <w:rPr>
          <w:lang w:val="en-US"/>
        </w:rPr>
        <w:t xml:space="preserve">is to </w:t>
      </w:r>
      <w:r w:rsidR="00A81950">
        <w:rPr>
          <w:lang w:val="en-US"/>
        </w:rPr>
        <w:t xml:space="preserve">provide eligible students with the necessary funding </w:t>
      </w:r>
      <w:r w:rsidRPr="004A2D46">
        <w:rPr>
          <w:lang w:val="en-US"/>
        </w:rPr>
        <w:t xml:space="preserve">to </w:t>
      </w:r>
      <w:r w:rsidR="00A81950">
        <w:rPr>
          <w:lang w:val="en-US"/>
        </w:rPr>
        <w:t xml:space="preserve">attend </w:t>
      </w:r>
      <w:r w:rsidR="00CB73A3">
        <w:rPr>
          <w:lang w:val="en-US"/>
        </w:rPr>
        <w:t xml:space="preserve">a </w:t>
      </w:r>
      <w:r w:rsidR="00DC0AA0">
        <w:rPr>
          <w:lang w:val="en-US"/>
        </w:rPr>
        <w:t xml:space="preserve">preparation year at a </w:t>
      </w:r>
      <w:r w:rsidR="00CB73A3">
        <w:rPr>
          <w:lang w:val="en-US"/>
        </w:rPr>
        <w:t>qualified educational institution</w:t>
      </w:r>
      <w:r w:rsidR="00DC0AA0">
        <w:rPr>
          <w:lang w:val="en-US"/>
        </w:rPr>
        <w:t xml:space="preserve"> that will lead t</w:t>
      </w:r>
      <w:r w:rsidR="00CB73A3">
        <w:rPr>
          <w:lang w:val="en-US"/>
        </w:rPr>
        <w:t xml:space="preserve">o the successful completion of </w:t>
      </w:r>
      <w:r w:rsidR="00426E3F">
        <w:rPr>
          <w:lang w:val="en-US"/>
        </w:rPr>
        <w:t xml:space="preserve">a </w:t>
      </w:r>
      <w:r w:rsidR="00DC0AA0">
        <w:rPr>
          <w:lang w:val="en-US"/>
        </w:rPr>
        <w:t xml:space="preserve">university degree or </w:t>
      </w:r>
      <w:r w:rsidR="00426E3F">
        <w:rPr>
          <w:lang w:val="en-US"/>
        </w:rPr>
        <w:t xml:space="preserve">college </w:t>
      </w:r>
      <w:r w:rsidR="00A81950">
        <w:rPr>
          <w:lang w:val="en-US"/>
        </w:rPr>
        <w:t>diploma</w:t>
      </w:r>
      <w:r w:rsidR="00DC0AA0">
        <w:rPr>
          <w:lang w:val="en-US"/>
        </w:rPr>
        <w:t>.</w:t>
      </w:r>
    </w:p>
    <w:p w14:paraId="45398398" w14:textId="03C00040" w:rsidR="00D974C9" w:rsidRDefault="00426E3F" w:rsidP="00F40C2A">
      <w:pPr>
        <w:ind w:left="720"/>
        <w:rPr>
          <w:lang w:val="en-US"/>
        </w:rPr>
      </w:pPr>
      <w:r>
        <w:rPr>
          <w:lang w:val="en-US"/>
        </w:rPr>
        <w:t>T</w:t>
      </w:r>
      <w:r w:rsidR="00D974C9">
        <w:rPr>
          <w:lang w:val="en-US"/>
        </w:rPr>
        <w:t>his program only applies to students seeking entry in a full-time college diploma or university degree program</w:t>
      </w:r>
      <w:r>
        <w:rPr>
          <w:lang w:val="en-US"/>
        </w:rPr>
        <w:t xml:space="preserve"> upon completion of one preparation school year.</w:t>
      </w:r>
    </w:p>
    <w:p w14:paraId="60017006" w14:textId="4755E4DB" w:rsidR="00CB73A3" w:rsidRDefault="00CB73A3" w:rsidP="00F40C2A">
      <w:pPr>
        <w:ind w:left="720"/>
        <w:rPr>
          <w:lang w:val="en-US"/>
        </w:rPr>
      </w:pPr>
      <w:r>
        <w:rPr>
          <w:lang w:val="en-US"/>
        </w:rPr>
        <w:t xml:space="preserve"> </w:t>
      </w:r>
    </w:p>
    <w:p w14:paraId="03138722" w14:textId="19B27C5A" w:rsidR="00A32F60" w:rsidRPr="00D974C9" w:rsidRDefault="00A32F60" w:rsidP="00F40C2A">
      <w:pPr>
        <w:ind w:left="720"/>
        <w:rPr>
          <w:b/>
          <w:bCs/>
        </w:rPr>
      </w:pPr>
      <w:r w:rsidRPr="00D974C9">
        <w:rPr>
          <w:b/>
          <w:bCs/>
        </w:rPr>
        <w:t>Application Process</w:t>
      </w:r>
    </w:p>
    <w:p w14:paraId="2220DBCD" w14:textId="2766D317" w:rsidR="00D275C1" w:rsidRDefault="004A2D46" w:rsidP="00D974C9">
      <w:pPr>
        <w:ind w:left="720"/>
        <w:rPr>
          <w:lang w:val="en-US"/>
        </w:rPr>
      </w:pPr>
      <w:r w:rsidRPr="004A2D46">
        <w:rPr>
          <w:lang w:val="en-US"/>
        </w:rPr>
        <w:t>To apply to the program</w:t>
      </w:r>
      <w:r w:rsidR="00516577">
        <w:rPr>
          <w:lang w:val="en-US"/>
        </w:rPr>
        <w:t>,</w:t>
      </w:r>
      <w:r w:rsidRPr="004A2D46">
        <w:rPr>
          <w:lang w:val="en-US"/>
        </w:rPr>
        <w:t xml:space="preserve"> applicants are invited to </w:t>
      </w:r>
      <w:r w:rsidR="00516577">
        <w:rPr>
          <w:lang w:val="en-US"/>
        </w:rPr>
        <w:t xml:space="preserve">visit </w:t>
      </w:r>
      <w:r w:rsidR="00D974C9">
        <w:rPr>
          <w:lang w:val="en-US"/>
        </w:rPr>
        <w:t>S</w:t>
      </w:r>
      <w:r w:rsidR="003C7391">
        <w:rPr>
          <w:lang w:val="en-US"/>
        </w:rPr>
        <w:t>ahtu</w:t>
      </w:r>
      <w:r w:rsidR="00D974C9">
        <w:rPr>
          <w:lang w:val="en-US"/>
        </w:rPr>
        <w:t xml:space="preserve"> D</w:t>
      </w:r>
      <w:r w:rsidR="003C7391">
        <w:rPr>
          <w:lang w:val="en-US"/>
        </w:rPr>
        <w:t>ene</w:t>
      </w:r>
      <w:r w:rsidR="00D974C9">
        <w:rPr>
          <w:lang w:val="en-US"/>
        </w:rPr>
        <w:t xml:space="preserve"> Council website at </w:t>
      </w:r>
      <w:hyperlink r:id="rId5" w:history="1">
        <w:r w:rsidR="00D974C9" w:rsidRPr="00190A1D">
          <w:rPr>
            <w:rStyle w:val="Hyperlink"/>
            <w:lang w:val="en-US"/>
          </w:rPr>
          <w:t>www.sahtudenecouncil.ca</w:t>
        </w:r>
      </w:hyperlink>
      <w:r w:rsidR="00D974C9">
        <w:rPr>
          <w:lang w:val="en-US"/>
        </w:rPr>
        <w:t xml:space="preserve"> </w:t>
      </w:r>
      <w:r w:rsidR="00D275C1">
        <w:rPr>
          <w:lang w:val="en-US"/>
        </w:rPr>
        <w:t xml:space="preserve">to </w:t>
      </w:r>
      <w:r>
        <w:rPr>
          <w:lang w:val="en-US"/>
        </w:rPr>
        <w:t xml:space="preserve">complete the </w:t>
      </w:r>
      <w:r w:rsidR="00CB73A3">
        <w:rPr>
          <w:lang w:val="en-US"/>
        </w:rPr>
        <w:t xml:space="preserve">on-line </w:t>
      </w:r>
      <w:r>
        <w:rPr>
          <w:lang w:val="en-US"/>
        </w:rPr>
        <w:t>applic</w:t>
      </w:r>
      <w:r w:rsidR="00D974C9">
        <w:rPr>
          <w:lang w:val="en-US"/>
        </w:rPr>
        <w:t>ation.</w:t>
      </w:r>
      <w:r w:rsidR="00D275C1">
        <w:rPr>
          <w:lang w:val="en-US"/>
        </w:rPr>
        <w:t xml:space="preserve"> The application can be returned by email in a word.doc or PDF format to </w:t>
      </w:r>
      <w:hyperlink r:id="rId6" w:history="1">
        <w:r w:rsidR="00D275C1" w:rsidRPr="00190A1D">
          <w:rPr>
            <w:rStyle w:val="Hyperlink"/>
            <w:lang w:val="en-US"/>
          </w:rPr>
          <w:t>isets.sdc@sahtu.ca</w:t>
        </w:r>
      </w:hyperlink>
      <w:r w:rsidR="00D275C1">
        <w:rPr>
          <w:lang w:val="en-US"/>
        </w:rPr>
        <w:t>.</w:t>
      </w:r>
    </w:p>
    <w:p w14:paraId="4E52CC7A" w14:textId="476A3CD6" w:rsidR="004A2D46" w:rsidRDefault="003C7391" w:rsidP="00D974C9">
      <w:pPr>
        <w:ind w:left="720"/>
        <w:rPr>
          <w:lang w:val="en-US"/>
        </w:rPr>
      </w:pPr>
      <w:r>
        <w:rPr>
          <w:lang w:val="en-US"/>
        </w:rPr>
        <w:t xml:space="preserve">The application may also be requested by email </w:t>
      </w:r>
      <w:r w:rsidR="00D974C9">
        <w:rPr>
          <w:lang w:val="en-US"/>
        </w:rPr>
        <w:t xml:space="preserve">at </w:t>
      </w:r>
      <w:hyperlink r:id="rId7" w:history="1">
        <w:r w:rsidR="00D974C9" w:rsidRPr="00190A1D">
          <w:rPr>
            <w:rStyle w:val="Hyperlink"/>
            <w:lang w:val="en-US"/>
          </w:rPr>
          <w:t>isets.sdc@sahtu.ca</w:t>
        </w:r>
      </w:hyperlink>
      <w:r w:rsidR="00516577">
        <w:rPr>
          <w:lang w:val="en-US"/>
        </w:rPr>
        <w:t xml:space="preserve"> or by </w:t>
      </w:r>
      <w:r>
        <w:rPr>
          <w:lang w:val="en-US"/>
        </w:rPr>
        <w:t>contacting the SDC offices directly 867-589-30</w:t>
      </w:r>
      <w:r w:rsidR="00DC0AA0">
        <w:rPr>
          <w:lang w:val="en-US"/>
        </w:rPr>
        <w:t>20.</w:t>
      </w:r>
    </w:p>
    <w:p w14:paraId="4CEC42FE" w14:textId="485F1AD3" w:rsidR="00516577" w:rsidRDefault="002622CC" w:rsidP="00F40C2A">
      <w:pPr>
        <w:ind w:left="720"/>
        <w:rPr>
          <w:lang w:val="en-US"/>
        </w:rPr>
      </w:pPr>
      <w:r>
        <w:rPr>
          <w:lang w:val="en-US"/>
        </w:rPr>
        <w:t xml:space="preserve">The </w:t>
      </w:r>
      <w:r w:rsidR="00D275C1">
        <w:rPr>
          <w:lang w:val="en-US"/>
        </w:rPr>
        <w:t>downloadable and printable version of the a</w:t>
      </w:r>
      <w:r w:rsidR="004A2D46" w:rsidRPr="004A2D46">
        <w:rPr>
          <w:lang w:val="en-US"/>
        </w:rPr>
        <w:t>pplication</w:t>
      </w:r>
      <w:r w:rsidR="005E3A44">
        <w:rPr>
          <w:lang w:val="en-US"/>
        </w:rPr>
        <w:t xml:space="preserve"> </w:t>
      </w:r>
      <w:r w:rsidR="00516577">
        <w:rPr>
          <w:lang w:val="en-US"/>
        </w:rPr>
        <w:t>w</w:t>
      </w:r>
      <w:r w:rsidR="004A2D46" w:rsidRPr="004A2D46">
        <w:rPr>
          <w:lang w:val="en-US"/>
        </w:rPr>
        <w:t xml:space="preserve">ill be available </w:t>
      </w:r>
      <w:r w:rsidR="00516577">
        <w:rPr>
          <w:lang w:val="en-US"/>
        </w:rPr>
        <w:t xml:space="preserve">online </w:t>
      </w:r>
      <w:r w:rsidR="00D275C1">
        <w:rPr>
          <w:lang w:val="en-US"/>
        </w:rPr>
        <w:t xml:space="preserve">before </w:t>
      </w:r>
      <w:r w:rsidR="004A2D46" w:rsidRPr="004A2D46">
        <w:rPr>
          <w:lang w:val="en-US"/>
        </w:rPr>
        <w:t>June 1</w:t>
      </w:r>
      <w:r w:rsidR="00516577" w:rsidRPr="00516577">
        <w:rPr>
          <w:vertAlign w:val="superscript"/>
          <w:lang w:val="en-US"/>
        </w:rPr>
        <w:t>st</w:t>
      </w:r>
      <w:r w:rsidR="00516577">
        <w:rPr>
          <w:lang w:val="en-US"/>
        </w:rPr>
        <w:t xml:space="preserve"> </w:t>
      </w:r>
      <w:r w:rsidR="00DC0AA0">
        <w:rPr>
          <w:lang w:val="en-US"/>
        </w:rPr>
        <w:t>for the upcoming academic year</w:t>
      </w:r>
      <w:r w:rsidR="005E3A44">
        <w:rPr>
          <w:lang w:val="en-US"/>
        </w:rPr>
        <w:t xml:space="preserve">. The </w:t>
      </w:r>
      <w:r w:rsidR="004A2D46" w:rsidRPr="004A2D46">
        <w:rPr>
          <w:lang w:val="en-US"/>
        </w:rPr>
        <w:t xml:space="preserve">closing date </w:t>
      </w:r>
      <w:r w:rsidR="00D974C9">
        <w:rPr>
          <w:lang w:val="en-US"/>
        </w:rPr>
        <w:t xml:space="preserve">for </w:t>
      </w:r>
      <w:r w:rsidR="00516577">
        <w:rPr>
          <w:lang w:val="en-US"/>
        </w:rPr>
        <w:t xml:space="preserve">the </w:t>
      </w:r>
      <w:r w:rsidR="004A2D46" w:rsidRPr="004A2D46">
        <w:rPr>
          <w:lang w:val="en-US"/>
        </w:rPr>
        <w:t xml:space="preserve">application is </w:t>
      </w:r>
      <w:r w:rsidR="005E3A44">
        <w:rPr>
          <w:lang w:val="en-US"/>
        </w:rPr>
        <w:t xml:space="preserve">midnight </w:t>
      </w:r>
      <w:r w:rsidR="004A2D46" w:rsidRPr="004A2D46">
        <w:rPr>
          <w:lang w:val="en-US"/>
        </w:rPr>
        <w:t>June 30</w:t>
      </w:r>
      <w:r w:rsidR="00516577" w:rsidRPr="00516577">
        <w:rPr>
          <w:vertAlign w:val="superscript"/>
          <w:lang w:val="en-US"/>
        </w:rPr>
        <w:t>th</w:t>
      </w:r>
      <w:r w:rsidR="00516577">
        <w:rPr>
          <w:lang w:val="en-US"/>
        </w:rPr>
        <w:t xml:space="preserve">. </w:t>
      </w:r>
      <w:r w:rsidR="00744A36">
        <w:rPr>
          <w:lang w:val="en-US"/>
        </w:rPr>
        <w:t xml:space="preserve">The application screening, review and approval process </w:t>
      </w:r>
      <w:r w:rsidR="004A2D46" w:rsidRPr="004A2D46">
        <w:rPr>
          <w:lang w:val="en-US"/>
        </w:rPr>
        <w:t xml:space="preserve">will take place during </w:t>
      </w:r>
      <w:r w:rsidR="00744A36">
        <w:rPr>
          <w:lang w:val="en-US"/>
        </w:rPr>
        <w:t xml:space="preserve">the month of </w:t>
      </w:r>
      <w:r w:rsidR="004A2D46" w:rsidRPr="004A2D46">
        <w:rPr>
          <w:lang w:val="en-US"/>
        </w:rPr>
        <w:t>July</w:t>
      </w:r>
      <w:r w:rsidR="00516577">
        <w:rPr>
          <w:lang w:val="en-US"/>
        </w:rPr>
        <w:t>.</w:t>
      </w:r>
    </w:p>
    <w:p w14:paraId="22CBC6BB" w14:textId="15A7ABFD" w:rsidR="00516577" w:rsidRDefault="00744A36" w:rsidP="00F40C2A">
      <w:pPr>
        <w:ind w:left="720"/>
        <w:rPr>
          <w:lang w:val="en-US"/>
        </w:rPr>
      </w:pPr>
      <w:r>
        <w:rPr>
          <w:lang w:val="en-US"/>
        </w:rPr>
        <w:t xml:space="preserve">Applications lacking sufficient information will </w:t>
      </w:r>
      <w:r w:rsidR="00D275C1">
        <w:rPr>
          <w:lang w:val="en-US"/>
        </w:rPr>
        <w:t xml:space="preserve">be </w:t>
      </w:r>
      <w:r>
        <w:rPr>
          <w:lang w:val="en-US"/>
        </w:rPr>
        <w:t xml:space="preserve">returned to the applicant with an opportunity for </w:t>
      </w:r>
      <w:r w:rsidR="00D275C1">
        <w:rPr>
          <w:lang w:val="en-US"/>
        </w:rPr>
        <w:t xml:space="preserve">a </w:t>
      </w:r>
      <w:r>
        <w:rPr>
          <w:lang w:val="en-US"/>
        </w:rPr>
        <w:t>second submission</w:t>
      </w:r>
      <w:r w:rsidR="00516577">
        <w:rPr>
          <w:lang w:val="en-US"/>
        </w:rPr>
        <w:t xml:space="preserve"> provided such submission is before the J</w:t>
      </w:r>
      <w:r>
        <w:rPr>
          <w:lang w:val="en-US"/>
        </w:rPr>
        <w:t>une 30</w:t>
      </w:r>
      <w:r w:rsidRPr="00744A36">
        <w:rPr>
          <w:vertAlign w:val="superscript"/>
          <w:lang w:val="en-US"/>
        </w:rPr>
        <w:t>th</w:t>
      </w:r>
      <w:r>
        <w:rPr>
          <w:lang w:val="en-US"/>
        </w:rPr>
        <w:t xml:space="preserve"> deadline</w:t>
      </w:r>
      <w:r w:rsidR="00516577">
        <w:rPr>
          <w:lang w:val="en-US"/>
        </w:rPr>
        <w:t>. Under no circumstances will late submission</w:t>
      </w:r>
      <w:r w:rsidR="00D275C1">
        <w:rPr>
          <w:lang w:val="en-US"/>
        </w:rPr>
        <w:t>s</w:t>
      </w:r>
      <w:r w:rsidR="00516577">
        <w:rPr>
          <w:lang w:val="en-US"/>
        </w:rPr>
        <w:t xml:space="preserve"> be accepted. </w:t>
      </w:r>
    </w:p>
    <w:p w14:paraId="68643F97" w14:textId="1D57B6FD" w:rsidR="004D638B" w:rsidRDefault="00744A36" w:rsidP="00F40C2A">
      <w:pPr>
        <w:ind w:left="720"/>
        <w:rPr>
          <w:lang w:val="en-US"/>
        </w:rPr>
      </w:pPr>
      <w:r>
        <w:rPr>
          <w:lang w:val="en-US"/>
        </w:rPr>
        <w:t xml:space="preserve">Applicants </w:t>
      </w:r>
      <w:r w:rsidR="00D275C1">
        <w:rPr>
          <w:lang w:val="en-US"/>
        </w:rPr>
        <w:t xml:space="preserve">that have submitted a </w:t>
      </w:r>
      <w:r w:rsidR="00516577">
        <w:rPr>
          <w:lang w:val="en-US"/>
        </w:rPr>
        <w:t>fully and sufficiently completed</w:t>
      </w:r>
      <w:r w:rsidR="00E31303">
        <w:rPr>
          <w:lang w:val="en-US"/>
        </w:rPr>
        <w:t xml:space="preserve"> </w:t>
      </w:r>
      <w:r w:rsidR="00D275C1">
        <w:rPr>
          <w:lang w:val="en-US"/>
        </w:rPr>
        <w:t xml:space="preserve">application </w:t>
      </w:r>
      <w:r w:rsidR="00E31303">
        <w:rPr>
          <w:lang w:val="en-US"/>
        </w:rPr>
        <w:t xml:space="preserve">before June </w:t>
      </w:r>
      <w:r w:rsidR="00E67297">
        <w:rPr>
          <w:lang w:val="en-US"/>
        </w:rPr>
        <w:t>30</w:t>
      </w:r>
      <w:r w:rsidR="00E67297" w:rsidRPr="00E31303">
        <w:rPr>
          <w:vertAlign w:val="superscript"/>
          <w:lang w:val="en-US"/>
        </w:rPr>
        <w:t>th</w:t>
      </w:r>
      <w:r w:rsidR="00516577">
        <w:rPr>
          <w:lang w:val="en-US"/>
        </w:rPr>
        <w:t xml:space="preserve"> will </w:t>
      </w:r>
      <w:r>
        <w:rPr>
          <w:lang w:val="en-US"/>
        </w:rPr>
        <w:t>be given a r</w:t>
      </w:r>
      <w:r w:rsidR="004A2D46" w:rsidRPr="004A2D46">
        <w:rPr>
          <w:lang w:val="en-US"/>
        </w:rPr>
        <w:t xml:space="preserve">esponse </w:t>
      </w:r>
      <w:r>
        <w:rPr>
          <w:lang w:val="en-US"/>
        </w:rPr>
        <w:t xml:space="preserve">to their </w:t>
      </w:r>
      <w:r w:rsidR="00516577">
        <w:rPr>
          <w:lang w:val="en-US"/>
        </w:rPr>
        <w:t>submission b</w:t>
      </w:r>
      <w:r w:rsidR="004A2D46" w:rsidRPr="004A2D46">
        <w:rPr>
          <w:lang w:val="en-US"/>
        </w:rPr>
        <w:t>efore July 31</w:t>
      </w:r>
      <w:r w:rsidR="00516577" w:rsidRPr="00516577">
        <w:rPr>
          <w:vertAlign w:val="superscript"/>
          <w:lang w:val="en-US"/>
        </w:rPr>
        <w:t>st</w:t>
      </w:r>
      <w:r w:rsidR="00516577">
        <w:rPr>
          <w:lang w:val="en-US"/>
        </w:rPr>
        <w:t xml:space="preserve">. </w:t>
      </w:r>
      <w:r>
        <w:rPr>
          <w:lang w:val="en-US"/>
        </w:rPr>
        <w:t xml:space="preserve">The response will </w:t>
      </w:r>
      <w:r w:rsidR="00516577">
        <w:rPr>
          <w:lang w:val="en-US"/>
        </w:rPr>
        <w:t xml:space="preserve">indicate whether the application was approved or declined. For </w:t>
      </w:r>
      <w:r w:rsidR="00E31303">
        <w:rPr>
          <w:lang w:val="en-US"/>
        </w:rPr>
        <w:t xml:space="preserve">an </w:t>
      </w:r>
      <w:r w:rsidR="00516577">
        <w:rPr>
          <w:lang w:val="en-US"/>
        </w:rPr>
        <w:t>application</w:t>
      </w:r>
      <w:r w:rsidR="00E31303">
        <w:rPr>
          <w:lang w:val="en-US"/>
        </w:rPr>
        <w:t xml:space="preserve"> that is decline</w:t>
      </w:r>
      <w:r w:rsidR="00D275C1">
        <w:rPr>
          <w:lang w:val="en-US"/>
        </w:rPr>
        <w:t>d</w:t>
      </w:r>
      <w:r w:rsidR="00E31303">
        <w:rPr>
          <w:lang w:val="en-US"/>
        </w:rPr>
        <w:t xml:space="preserve">, </w:t>
      </w:r>
      <w:r w:rsidR="00516577">
        <w:rPr>
          <w:lang w:val="en-US"/>
        </w:rPr>
        <w:t>a</w:t>
      </w:r>
      <w:r w:rsidR="00E31303">
        <w:rPr>
          <w:lang w:val="en-US"/>
        </w:rPr>
        <w:t xml:space="preserve"> reason </w:t>
      </w:r>
      <w:r w:rsidR="00516577">
        <w:rPr>
          <w:lang w:val="en-US"/>
        </w:rPr>
        <w:t>will be provided</w:t>
      </w:r>
      <w:r w:rsidR="00E31303">
        <w:rPr>
          <w:lang w:val="en-US"/>
        </w:rPr>
        <w:t xml:space="preserve"> with the notification</w:t>
      </w:r>
      <w:r w:rsidR="00516577">
        <w:rPr>
          <w:lang w:val="en-US"/>
        </w:rPr>
        <w:t>.</w:t>
      </w:r>
      <w:r w:rsidR="00D275C1">
        <w:rPr>
          <w:lang w:val="en-US"/>
        </w:rPr>
        <w:t xml:space="preserve"> </w:t>
      </w:r>
      <w:r w:rsidR="002622CC">
        <w:rPr>
          <w:lang w:val="en-US"/>
        </w:rPr>
        <w:t xml:space="preserve">For an application that is approved, a notice </w:t>
      </w:r>
      <w:r w:rsidR="00D275C1">
        <w:rPr>
          <w:lang w:val="en-US"/>
        </w:rPr>
        <w:t xml:space="preserve">of approval will be </w:t>
      </w:r>
      <w:r w:rsidR="002622CC">
        <w:rPr>
          <w:lang w:val="en-US"/>
        </w:rPr>
        <w:t>provided that will include the</w:t>
      </w:r>
      <w:r w:rsidR="00D275C1">
        <w:rPr>
          <w:lang w:val="en-US"/>
        </w:rPr>
        <w:t xml:space="preserve"> terms of such approval including the amount and timing of payment</w:t>
      </w:r>
      <w:r w:rsidR="002622CC">
        <w:rPr>
          <w:lang w:val="en-US"/>
        </w:rPr>
        <w:t xml:space="preserve">(s) over the </w:t>
      </w:r>
      <w:r w:rsidR="00E67297">
        <w:rPr>
          <w:lang w:val="en-US"/>
        </w:rPr>
        <w:t xml:space="preserve">upcoming </w:t>
      </w:r>
      <w:r w:rsidR="002622CC">
        <w:rPr>
          <w:lang w:val="en-US"/>
        </w:rPr>
        <w:t>school year</w:t>
      </w:r>
      <w:r w:rsidR="00D275C1">
        <w:rPr>
          <w:lang w:val="en-US"/>
        </w:rPr>
        <w:t>. Approval may also be subject to other conditions</w:t>
      </w:r>
      <w:r w:rsidR="004D638B">
        <w:rPr>
          <w:lang w:val="en-US"/>
        </w:rPr>
        <w:t xml:space="preserve">. Ongoing payments may be </w:t>
      </w:r>
      <w:r w:rsidR="002622CC">
        <w:rPr>
          <w:lang w:val="en-US"/>
        </w:rPr>
        <w:t xml:space="preserve">subject to </w:t>
      </w:r>
      <w:r w:rsidR="004D638B">
        <w:rPr>
          <w:lang w:val="en-US"/>
        </w:rPr>
        <w:t>attendance.</w:t>
      </w:r>
    </w:p>
    <w:p w14:paraId="36BB776C" w14:textId="303D0AE6" w:rsidR="006B6AFD" w:rsidRDefault="00744A36" w:rsidP="00F40C2A">
      <w:pPr>
        <w:ind w:left="720"/>
        <w:rPr>
          <w:lang w:val="en-US"/>
        </w:rPr>
      </w:pPr>
      <w:r>
        <w:rPr>
          <w:lang w:val="en-US"/>
        </w:rPr>
        <w:t xml:space="preserve">As funding is limited and the </w:t>
      </w:r>
      <w:r w:rsidR="00516577">
        <w:rPr>
          <w:lang w:val="en-US"/>
        </w:rPr>
        <w:t>program may wish to m</w:t>
      </w:r>
      <w:r>
        <w:rPr>
          <w:lang w:val="en-US"/>
        </w:rPr>
        <w:t xml:space="preserve">aximize the number of students receiving assistance, </w:t>
      </w:r>
      <w:r w:rsidR="006B6AFD">
        <w:rPr>
          <w:lang w:val="en-US"/>
        </w:rPr>
        <w:t xml:space="preserve">applicants are encouraged to </w:t>
      </w:r>
      <w:r w:rsidR="00E31303">
        <w:rPr>
          <w:lang w:val="en-US"/>
        </w:rPr>
        <w:t xml:space="preserve">apply for </w:t>
      </w:r>
      <w:r w:rsidR="002622CC">
        <w:rPr>
          <w:lang w:val="en-US"/>
        </w:rPr>
        <w:t>low-cost</w:t>
      </w:r>
      <w:r w:rsidR="006B6AFD">
        <w:rPr>
          <w:lang w:val="en-US"/>
        </w:rPr>
        <w:t xml:space="preserve"> living and travel options if available.</w:t>
      </w:r>
      <w:r w:rsidR="00E31303">
        <w:rPr>
          <w:lang w:val="en-US"/>
        </w:rPr>
        <w:t xml:space="preserve"> </w:t>
      </w:r>
      <w:r w:rsidR="006B6AFD">
        <w:rPr>
          <w:lang w:val="en-US"/>
        </w:rPr>
        <w:t xml:space="preserve"> </w:t>
      </w:r>
    </w:p>
    <w:p w14:paraId="674C9304" w14:textId="77777777" w:rsidR="002622CC" w:rsidRDefault="002622CC" w:rsidP="00F40C2A">
      <w:pPr>
        <w:ind w:left="720"/>
        <w:rPr>
          <w:lang w:val="en-US"/>
        </w:rPr>
      </w:pPr>
    </w:p>
    <w:p w14:paraId="4125E4BA" w14:textId="0D9EF07D" w:rsidR="002622CC" w:rsidRDefault="002622CC" w:rsidP="00F40C2A">
      <w:pPr>
        <w:ind w:left="720"/>
        <w:rPr>
          <w:b/>
          <w:bCs/>
          <w:lang w:val="en-US"/>
        </w:rPr>
      </w:pPr>
      <w:r w:rsidRPr="002622CC">
        <w:rPr>
          <w:b/>
          <w:bCs/>
          <w:lang w:val="en-US"/>
        </w:rPr>
        <w:t>Appeal Process</w:t>
      </w:r>
    </w:p>
    <w:p w14:paraId="6C761ACC" w14:textId="77777777" w:rsidR="002622CC" w:rsidRDefault="002622CC" w:rsidP="00E3558D">
      <w:pPr>
        <w:ind w:left="720"/>
        <w:rPr>
          <w:lang w:val="en-US"/>
        </w:rPr>
      </w:pPr>
      <w:r>
        <w:rPr>
          <w:lang w:val="en-US"/>
        </w:rPr>
        <w:t>T</w:t>
      </w:r>
      <w:r w:rsidRPr="00285372">
        <w:rPr>
          <w:lang w:val="en-US"/>
        </w:rPr>
        <w:t>o ensure fairness and equitable treatment under the program applicants may seek remedy under an appeal process</w:t>
      </w:r>
      <w:r>
        <w:rPr>
          <w:lang w:val="en-US"/>
        </w:rPr>
        <w:t>.</w:t>
      </w:r>
    </w:p>
    <w:p w14:paraId="306E6F6E" w14:textId="4892EF59" w:rsidR="002622CC" w:rsidRDefault="002622CC" w:rsidP="00E3558D">
      <w:pPr>
        <w:ind w:left="720"/>
        <w:rPr>
          <w:lang w:val="en-US"/>
        </w:rPr>
      </w:pPr>
      <w:r w:rsidRPr="00285372">
        <w:rPr>
          <w:lang w:val="en-US"/>
        </w:rPr>
        <w:t xml:space="preserve">The appeal process is available to any applicant that has </w:t>
      </w:r>
      <w:r>
        <w:rPr>
          <w:lang w:val="en-US"/>
        </w:rPr>
        <w:t xml:space="preserve">properly submitted their application and has </w:t>
      </w:r>
      <w:r w:rsidRPr="00285372">
        <w:rPr>
          <w:lang w:val="en-US"/>
        </w:rPr>
        <w:t>been denied in full or partially th</w:t>
      </w:r>
      <w:r>
        <w:rPr>
          <w:lang w:val="en-US"/>
        </w:rPr>
        <w:t>eir</w:t>
      </w:r>
      <w:r w:rsidRPr="00285372">
        <w:rPr>
          <w:lang w:val="en-US"/>
        </w:rPr>
        <w:t xml:space="preserve"> request for support under the program</w:t>
      </w:r>
      <w:r>
        <w:rPr>
          <w:lang w:val="en-US"/>
        </w:rPr>
        <w:t>.</w:t>
      </w:r>
      <w:r w:rsidR="00E3558D">
        <w:rPr>
          <w:lang w:val="en-US"/>
        </w:rPr>
        <w:t xml:space="preserve"> The appeal process will be overseen by a committee of three </w:t>
      </w:r>
      <w:r w:rsidR="00E67297">
        <w:rPr>
          <w:lang w:val="en-US"/>
        </w:rPr>
        <w:t xml:space="preserve">people </w:t>
      </w:r>
      <w:r w:rsidR="00E3558D">
        <w:rPr>
          <w:lang w:val="en-US"/>
        </w:rPr>
        <w:t xml:space="preserve">that includes one </w:t>
      </w:r>
      <w:proofErr w:type="gramStart"/>
      <w:r w:rsidR="00E3558D">
        <w:rPr>
          <w:lang w:val="en-US"/>
        </w:rPr>
        <w:t>chief;</w:t>
      </w:r>
      <w:proofErr w:type="gramEnd"/>
      <w:r w:rsidR="00E3558D">
        <w:rPr>
          <w:lang w:val="en-US"/>
        </w:rPr>
        <w:t xml:space="preserve"> one senior manager and one </w:t>
      </w:r>
      <w:r w:rsidR="00E67297">
        <w:rPr>
          <w:lang w:val="en-US"/>
        </w:rPr>
        <w:t xml:space="preserve">community </w:t>
      </w:r>
      <w:r w:rsidR="00E3558D">
        <w:rPr>
          <w:lang w:val="en-US"/>
        </w:rPr>
        <w:t xml:space="preserve">employment officer. </w:t>
      </w:r>
    </w:p>
    <w:p w14:paraId="2D87CEFA" w14:textId="050A5033" w:rsidR="00E67297" w:rsidRDefault="00E3558D" w:rsidP="00E67297">
      <w:pPr>
        <w:ind w:left="720"/>
        <w:rPr>
          <w:lang w:val="en-US"/>
        </w:rPr>
      </w:pPr>
      <w:r>
        <w:rPr>
          <w:lang w:val="en-US"/>
        </w:rPr>
        <w:t xml:space="preserve">The appeal must be </w:t>
      </w:r>
      <w:r w:rsidR="00744A36">
        <w:rPr>
          <w:lang w:val="en-US"/>
        </w:rPr>
        <w:t>for reasons other than lack of funding</w:t>
      </w:r>
      <w:r>
        <w:rPr>
          <w:lang w:val="en-US"/>
        </w:rPr>
        <w:t xml:space="preserve">. </w:t>
      </w:r>
      <w:r w:rsidR="00E67297" w:rsidRPr="00285372">
        <w:rPr>
          <w:lang w:val="en-US"/>
        </w:rPr>
        <w:t>Applicants must appeal the decision before July 15</w:t>
      </w:r>
      <w:r w:rsidR="00E67297" w:rsidRPr="00E3558D">
        <w:rPr>
          <w:vertAlign w:val="superscript"/>
          <w:lang w:val="en-US"/>
        </w:rPr>
        <w:t>th</w:t>
      </w:r>
      <w:r w:rsidR="00E67297">
        <w:rPr>
          <w:lang w:val="en-US"/>
        </w:rPr>
        <w:t xml:space="preserve"> </w:t>
      </w:r>
      <w:r w:rsidR="00E67297" w:rsidRPr="00285372">
        <w:rPr>
          <w:lang w:val="en-US"/>
        </w:rPr>
        <w:t xml:space="preserve">in writing </w:t>
      </w:r>
      <w:r w:rsidR="00E67297">
        <w:rPr>
          <w:lang w:val="en-US"/>
        </w:rPr>
        <w:t xml:space="preserve">and addressed to Sahtu Dene Council Executive Director at </w:t>
      </w:r>
      <w:hyperlink r:id="rId8" w:history="1">
        <w:r w:rsidR="00E67297" w:rsidRPr="00190A1D">
          <w:rPr>
            <w:rStyle w:val="Hyperlink"/>
            <w:lang w:val="en-US"/>
          </w:rPr>
          <w:t>isets.sdc@saht.ca</w:t>
        </w:r>
      </w:hyperlink>
      <w:r w:rsidR="00E67297">
        <w:rPr>
          <w:lang w:val="en-US"/>
        </w:rPr>
        <w:t xml:space="preserve"> </w:t>
      </w:r>
      <w:r w:rsidR="00E67297" w:rsidRPr="00285372">
        <w:rPr>
          <w:lang w:val="en-US"/>
        </w:rPr>
        <w:t xml:space="preserve">and </w:t>
      </w:r>
      <w:r w:rsidR="00E67297">
        <w:rPr>
          <w:lang w:val="en-US"/>
        </w:rPr>
        <w:t xml:space="preserve">include the reason(s) </w:t>
      </w:r>
      <w:r w:rsidR="00E67297" w:rsidRPr="00285372">
        <w:rPr>
          <w:lang w:val="en-US"/>
        </w:rPr>
        <w:t>for which the appeal is requested</w:t>
      </w:r>
      <w:r w:rsidR="00E67297">
        <w:rPr>
          <w:lang w:val="en-US"/>
        </w:rPr>
        <w:t xml:space="preserve">. </w:t>
      </w:r>
      <w:r w:rsidR="00E67297" w:rsidRPr="00285372">
        <w:rPr>
          <w:lang w:val="en-US"/>
        </w:rPr>
        <w:t xml:space="preserve">There is no appeal for applicants that are </w:t>
      </w:r>
      <w:r w:rsidR="00E67297">
        <w:rPr>
          <w:lang w:val="en-US"/>
        </w:rPr>
        <w:t>denied</w:t>
      </w:r>
      <w:r w:rsidR="00E67297" w:rsidRPr="00285372">
        <w:rPr>
          <w:lang w:val="en-US"/>
        </w:rPr>
        <w:t xml:space="preserve"> </w:t>
      </w:r>
      <w:r w:rsidR="00E67297">
        <w:rPr>
          <w:lang w:val="en-US"/>
        </w:rPr>
        <w:t xml:space="preserve">due to the </w:t>
      </w:r>
      <w:r w:rsidR="00E67297" w:rsidRPr="00285372">
        <w:rPr>
          <w:lang w:val="en-US"/>
        </w:rPr>
        <w:t>lack of available funds</w:t>
      </w:r>
      <w:r w:rsidR="00E67297">
        <w:rPr>
          <w:lang w:val="en-US"/>
        </w:rPr>
        <w:t>.</w:t>
      </w:r>
    </w:p>
    <w:p w14:paraId="3AB6B6E0" w14:textId="77777777" w:rsidR="00C443AB" w:rsidRDefault="00C443AB" w:rsidP="00C443AB">
      <w:pPr>
        <w:ind w:left="720"/>
        <w:rPr>
          <w:lang w:val="en-US"/>
        </w:rPr>
      </w:pPr>
      <w:r>
        <w:rPr>
          <w:lang w:val="en-US"/>
        </w:rPr>
        <w:t xml:space="preserve">The Sahtu Dene Council 3-person appeal </w:t>
      </w:r>
      <w:r w:rsidRPr="00285372">
        <w:rPr>
          <w:lang w:val="en-US"/>
        </w:rPr>
        <w:t xml:space="preserve">committee shall consist of at least one </w:t>
      </w:r>
      <w:r>
        <w:rPr>
          <w:lang w:val="en-US"/>
        </w:rPr>
        <w:t xml:space="preserve">Sahtu </w:t>
      </w:r>
      <w:r w:rsidRPr="00285372">
        <w:rPr>
          <w:lang w:val="en-US"/>
        </w:rPr>
        <w:t>chief</w:t>
      </w:r>
      <w:r>
        <w:rPr>
          <w:lang w:val="en-US"/>
        </w:rPr>
        <w:t xml:space="preserve">; </w:t>
      </w:r>
      <w:r w:rsidRPr="00285372">
        <w:rPr>
          <w:lang w:val="en-US"/>
        </w:rPr>
        <w:t xml:space="preserve">one senior executive and one </w:t>
      </w:r>
      <w:r>
        <w:rPr>
          <w:lang w:val="en-US"/>
        </w:rPr>
        <w:t>employment officer from the Sahtu.</w:t>
      </w:r>
    </w:p>
    <w:p w14:paraId="76524098" w14:textId="7BABD7C8" w:rsidR="00E67297" w:rsidRDefault="00E67297" w:rsidP="00E67297">
      <w:pPr>
        <w:ind w:left="720"/>
      </w:pPr>
      <w:r w:rsidRPr="00285372">
        <w:rPr>
          <w:lang w:val="en-US"/>
        </w:rPr>
        <w:t>The appeal</w:t>
      </w:r>
      <w:r>
        <w:rPr>
          <w:lang w:val="en-US"/>
        </w:rPr>
        <w:t>s</w:t>
      </w:r>
      <w:r w:rsidRPr="00285372">
        <w:rPr>
          <w:lang w:val="en-US"/>
        </w:rPr>
        <w:t xml:space="preserve"> </w:t>
      </w:r>
      <w:proofErr w:type="gramStart"/>
      <w:r w:rsidRPr="00285372">
        <w:rPr>
          <w:lang w:val="en-US"/>
        </w:rPr>
        <w:t>committee</w:t>
      </w:r>
      <w:proofErr w:type="gramEnd"/>
      <w:r w:rsidRPr="00285372">
        <w:rPr>
          <w:lang w:val="en-US"/>
        </w:rPr>
        <w:t xml:space="preserve"> ruling must be consistent with the intent of the program and the program guidelines</w:t>
      </w:r>
      <w:r>
        <w:rPr>
          <w:lang w:val="en-US"/>
        </w:rPr>
        <w:t xml:space="preserve">. </w:t>
      </w:r>
      <w:r w:rsidRPr="00285372">
        <w:rPr>
          <w:lang w:val="en-US"/>
        </w:rPr>
        <w:t>The appeal</w:t>
      </w:r>
      <w:r w:rsidR="00C443AB">
        <w:rPr>
          <w:lang w:val="en-US"/>
        </w:rPr>
        <w:t>s</w:t>
      </w:r>
      <w:r w:rsidRPr="00285372">
        <w:rPr>
          <w:lang w:val="en-US"/>
        </w:rPr>
        <w:t xml:space="preserve"> </w:t>
      </w:r>
      <w:proofErr w:type="gramStart"/>
      <w:r w:rsidRPr="00285372">
        <w:rPr>
          <w:lang w:val="en-US"/>
        </w:rPr>
        <w:t>committee</w:t>
      </w:r>
      <w:proofErr w:type="gramEnd"/>
      <w:r w:rsidRPr="00285372">
        <w:rPr>
          <w:lang w:val="en-US"/>
        </w:rPr>
        <w:t xml:space="preserve"> decision will be final</w:t>
      </w:r>
      <w:r>
        <w:rPr>
          <w:lang w:val="en-US"/>
        </w:rPr>
        <w:t>. Failure to provide a complete a</w:t>
      </w:r>
      <w:r w:rsidRPr="00A81950">
        <w:rPr>
          <w:lang w:val="en-US"/>
        </w:rPr>
        <w:t>pplication or insufficient information in the application is not grounds for an appeal</w:t>
      </w:r>
      <w:r>
        <w:rPr>
          <w:lang w:val="en-US"/>
        </w:rPr>
        <w:t>.</w:t>
      </w:r>
    </w:p>
    <w:p w14:paraId="0EC8488E" w14:textId="4DE82F28" w:rsidR="004A2D46" w:rsidRDefault="00744A36" w:rsidP="00F40C2A">
      <w:pPr>
        <w:ind w:left="720"/>
        <w:rPr>
          <w:lang w:val="en-US"/>
        </w:rPr>
      </w:pPr>
      <w:r>
        <w:rPr>
          <w:lang w:val="en-US"/>
        </w:rPr>
        <w:t xml:space="preserve">The appeal </w:t>
      </w:r>
      <w:r w:rsidR="00E3558D">
        <w:rPr>
          <w:lang w:val="en-US"/>
        </w:rPr>
        <w:t xml:space="preserve">review </w:t>
      </w:r>
      <w:r>
        <w:rPr>
          <w:lang w:val="en-US"/>
        </w:rPr>
        <w:t xml:space="preserve">process will take place during </w:t>
      </w:r>
      <w:r w:rsidR="002622CC">
        <w:rPr>
          <w:lang w:val="en-US"/>
        </w:rPr>
        <w:t xml:space="preserve">the month of </w:t>
      </w:r>
      <w:r w:rsidR="00C443AB">
        <w:rPr>
          <w:lang w:val="en-US"/>
        </w:rPr>
        <w:t>July and August</w:t>
      </w:r>
      <w:r>
        <w:rPr>
          <w:lang w:val="en-US"/>
        </w:rPr>
        <w:t xml:space="preserve">. A reply to the </w:t>
      </w:r>
      <w:r w:rsidR="004A2D46" w:rsidRPr="004A2D46">
        <w:rPr>
          <w:lang w:val="en-US"/>
        </w:rPr>
        <w:t xml:space="preserve">appeal will be provided before </w:t>
      </w:r>
      <w:r>
        <w:rPr>
          <w:lang w:val="en-US"/>
        </w:rPr>
        <w:t>August 31</w:t>
      </w:r>
      <w:r w:rsidRPr="00744A36">
        <w:rPr>
          <w:vertAlign w:val="superscript"/>
          <w:lang w:val="en-US"/>
        </w:rPr>
        <w:t>st</w:t>
      </w:r>
      <w:r>
        <w:rPr>
          <w:lang w:val="en-US"/>
        </w:rPr>
        <w:t>.</w:t>
      </w:r>
      <w:r w:rsidR="00E3558D">
        <w:rPr>
          <w:lang w:val="en-US"/>
        </w:rPr>
        <w:t xml:space="preserve"> A reply to the appeal may </w:t>
      </w:r>
      <w:r w:rsidR="00C443AB">
        <w:rPr>
          <w:lang w:val="en-US"/>
        </w:rPr>
        <w:t xml:space="preserve">include </w:t>
      </w:r>
      <w:r w:rsidR="00E67297">
        <w:rPr>
          <w:lang w:val="en-US"/>
        </w:rPr>
        <w:t>authoriz</w:t>
      </w:r>
      <w:r w:rsidR="00C443AB">
        <w:rPr>
          <w:lang w:val="en-US"/>
        </w:rPr>
        <w:t>ation</w:t>
      </w:r>
      <w:r w:rsidR="00E67297">
        <w:rPr>
          <w:lang w:val="en-US"/>
        </w:rPr>
        <w:t>:</w:t>
      </w:r>
      <w:r w:rsidR="00E3558D">
        <w:rPr>
          <w:lang w:val="en-US"/>
        </w:rPr>
        <w:t xml:space="preserve"> </w:t>
      </w:r>
      <w:r w:rsidR="00C443AB">
        <w:rPr>
          <w:lang w:val="en-US"/>
        </w:rPr>
        <w:t>reversal of denial;</w:t>
      </w:r>
      <w:r w:rsidR="00E3558D">
        <w:rPr>
          <w:lang w:val="en-US"/>
        </w:rPr>
        <w:t xml:space="preserve"> conditional </w:t>
      </w:r>
      <w:r w:rsidR="00E67297">
        <w:rPr>
          <w:lang w:val="en-US"/>
        </w:rPr>
        <w:t xml:space="preserve">or partial </w:t>
      </w:r>
      <w:r w:rsidR="00C443AB">
        <w:rPr>
          <w:lang w:val="en-US"/>
        </w:rPr>
        <w:t xml:space="preserve">denial of </w:t>
      </w:r>
      <w:r w:rsidR="00E67297">
        <w:rPr>
          <w:lang w:val="en-US"/>
        </w:rPr>
        <w:t xml:space="preserve">funding </w:t>
      </w:r>
      <w:r w:rsidR="00C443AB">
        <w:rPr>
          <w:lang w:val="en-US"/>
        </w:rPr>
        <w:t>amount</w:t>
      </w:r>
      <w:r w:rsidR="00E3558D">
        <w:rPr>
          <w:lang w:val="en-US"/>
        </w:rPr>
        <w:t xml:space="preserve"> or full denial. The decision of the appeal committee will be final.</w:t>
      </w:r>
    </w:p>
    <w:p w14:paraId="70446D12" w14:textId="77777777" w:rsidR="002622CC" w:rsidRDefault="002622CC" w:rsidP="002622CC"/>
    <w:p w14:paraId="0C19344B" w14:textId="77777777" w:rsidR="002622CC" w:rsidRDefault="002622CC" w:rsidP="002622CC"/>
    <w:p w14:paraId="7224CD52" w14:textId="77777777" w:rsidR="002622CC" w:rsidRDefault="002622CC" w:rsidP="00F40C2A">
      <w:pPr>
        <w:ind w:left="720"/>
        <w:rPr>
          <w:lang w:val="en-US"/>
        </w:rPr>
      </w:pPr>
    </w:p>
    <w:p w14:paraId="726D90E5" w14:textId="77777777" w:rsidR="002622CC" w:rsidRDefault="002622CC" w:rsidP="00F40C2A">
      <w:pPr>
        <w:ind w:left="720"/>
      </w:pPr>
    </w:p>
    <w:p w14:paraId="23B9AFB7" w14:textId="77777777" w:rsidR="007C2757" w:rsidRDefault="007C2757" w:rsidP="00F40C2A">
      <w:pPr>
        <w:ind w:left="720"/>
      </w:pPr>
    </w:p>
    <w:p w14:paraId="4BE7C8B2" w14:textId="77777777" w:rsidR="00705FB6" w:rsidRDefault="00705FB6" w:rsidP="00F40C2A">
      <w:pPr>
        <w:ind w:left="720"/>
      </w:pPr>
    </w:p>
    <w:p w14:paraId="242AD259" w14:textId="279C41A1" w:rsidR="007C2757" w:rsidRPr="007C2757" w:rsidRDefault="007C2757" w:rsidP="00F40C2A">
      <w:pPr>
        <w:ind w:left="720"/>
        <w:rPr>
          <w:b/>
          <w:bCs/>
        </w:rPr>
      </w:pPr>
      <w:r w:rsidRPr="007C2757">
        <w:rPr>
          <w:b/>
          <w:bCs/>
        </w:rPr>
        <w:t>Priority Considerations</w:t>
      </w:r>
    </w:p>
    <w:p w14:paraId="49E1C1B0" w14:textId="4C766895" w:rsidR="00E31303" w:rsidRDefault="00D275C1" w:rsidP="00E31303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Applicants that are </w:t>
      </w:r>
      <w:r w:rsidR="007C2757">
        <w:rPr>
          <w:lang w:val="en-US"/>
        </w:rPr>
        <w:t xml:space="preserve">a </w:t>
      </w:r>
      <w:r>
        <w:rPr>
          <w:lang w:val="en-US"/>
        </w:rPr>
        <w:t xml:space="preserve">recent graduate from a high school in </w:t>
      </w:r>
      <w:r w:rsidR="00E31303">
        <w:rPr>
          <w:lang w:val="en-US"/>
        </w:rPr>
        <w:t>Colville Lake; Fort Good Hope</w:t>
      </w:r>
      <w:r w:rsidR="007C2757">
        <w:rPr>
          <w:lang w:val="en-US"/>
        </w:rPr>
        <w:t>; Norman Wells</w:t>
      </w:r>
      <w:r w:rsidR="00E31303">
        <w:rPr>
          <w:lang w:val="en-US"/>
        </w:rPr>
        <w:t xml:space="preserve"> or Tulita.</w:t>
      </w:r>
    </w:p>
    <w:p w14:paraId="68EB291C" w14:textId="57FD142F" w:rsidR="00D275C1" w:rsidRDefault="00D275C1" w:rsidP="00E31303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Applicants that have identified their post-secondary education </w:t>
      </w:r>
      <w:r w:rsidR="007C2757">
        <w:rPr>
          <w:lang w:val="en-US"/>
        </w:rPr>
        <w:t xml:space="preserve">interests </w:t>
      </w:r>
      <w:r>
        <w:rPr>
          <w:lang w:val="en-US"/>
        </w:rPr>
        <w:t>and goals.</w:t>
      </w:r>
    </w:p>
    <w:p w14:paraId="4CFB4874" w14:textId="5C7BC341" w:rsidR="007C2757" w:rsidRDefault="007C2757" w:rsidP="00E31303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Applicants with disabilities or </w:t>
      </w:r>
      <w:r w:rsidR="00C443AB">
        <w:rPr>
          <w:lang w:val="en-US"/>
        </w:rPr>
        <w:t>those that m</w:t>
      </w:r>
      <w:r>
        <w:rPr>
          <w:lang w:val="en-US"/>
        </w:rPr>
        <w:t xml:space="preserve">ay experience barriers to direct entry into a college diploma or university degree program. </w:t>
      </w:r>
    </w:p>
    <w:p w14:paraId="0CF1E968" w14:textId="00AA3C52" w:rsidR="00E31303" w:rsidRDefault="00E31303" w:rsidP="00D275C1">
      <w:pPr>
        <w:pStyle w:val="ListParagraph"/>
        <w:ind w:left="1080"/>
        <w:rPr>
          <w:lang w:val="en-US"/>
        </w:rPr>
      </w:pPr>
    </w:p>
    <w:p w14:paraId="034E9F48" w14:textId="36F43A86" w:rsidR="007C72B8" w:rsidRPr="006B6AFD" w:rsidRDefault="007C72B8" w:rsidP="00D974C9">
      <w:pPr>
        <w:ind w:left="720"/>
        <w:rPr>
          <w:b/>
          <w:bCs/>
          <w:lang w:val="en-US"/>
        </w:rPr>
      </w:pPr>
      <w:r w:rsidRPr="006B6AFD">
        <w:rPr>
          <w:b/>
          <w:bCs/>
          <w:lang w:val="en-US"/>
        </w:rPr>
        <w:t>Eligible Institutions</w:t>
      </w:r>
    </w:p>
    <w:p w14:paraId="5E320911" w14:textId="63D2DF0D" w:rsidR="007C72B8" w:rsidRDefault="007C72B8" w:rsidP="00D974C9">
      <w:pPr>
        <w:ind w:left="720"/>
        <w:rPr>
          <w:lang w:val="en-US"/>
        </w:rPr>
      </w:pPr>
      <w:r w:rsidRPr="007C72B8">
        <w:rPr>
          <w:lang w:val="en-US"/>
        </w:rPr>
        <w:t xml:space="preserve">Eligible </w:t>
      </w:r>
      <w:r w:rsidR="006B6AFD" w:rsidRPr="007C72B8">
        <w:rPr>
          <w:lang w:val="en-US"/>
        </w:rPr>
        <w:t>post-secondary</w:t>
      </w:r>
      <w:r w:rsidRPr="007C72B8">
        <w:rPr>
          <w:lang w:val="en-US"/>
        </w:rPr>
        <w:t xml:space="preserve"> institutions </w:t>
      </w:r>
      <w:r w:rsidR="00AE5F33">
        <w:rPr>
          <w:lang w:val="en-US"/>
        </w:rPr>
        <w:t xml:space="preserve">that offer a full-time </w:t>
      </w:r>
      <w:r w:rsidR="00C443AB">
        <w:rPr>
          <w:lang w:val="en-US"/>
        </w:rPr>
        <w:t xml:space="preserve">University College Entrance Preparation Program at </w:t>
      </w:r>
      <w:r w:rsidR="00AE5F33">
        <w:rPr>
          <w:lang w:val="en-US"/>
        </w:rPr>
        <w:t>an</w:t>
      </w:r>
      <w:r w:rsidRPr="007C72B8">
        <w:rPr>
          <w:lang w:val="en-US"/>
        </w:rPr>
        <w:t xml:space="preserve"> institution in Canada </w:t>
      </w:r>
      <w:r w:rsidR="006B6AFD">
        <w:rPr>
          <w:lang w:val="en-US"/>
        </w:rPr>
        <w:t xml:space="preserve">that </w:t>
      </w:r>
      <w:r w:rsidR="00AE5F33">
        <w:rPr>
          <w:lang w:val="en-US"/>
        </w:rPr>
        <w:t xml:space="preserve">is </w:t>
      </w:r>
      <w:r w:rsidRPr="007C72B8">
        <w:rPr>
          <w:lang w:val="en-US"/>
        </w:rPr>
        <w:t>recognized by a province or territory</w:t>
      </w:r>
      <w:r>
        <w:rPr>
          <w:lang w:val="en-US"/>
        </w:rPr>
        <w:t>.</w:t>
      </w:r>
    </w:p>
    <w:p w14:paraId="564463C9" w14:textId="5AEEE7E7" w:rsidR="007C72B8" w:rsidRDefault="007C72B8" w:rsidP="00D974C9">
      <w:pPr>
        <w:ind w:left="720"/>
        <w:rPr>
          <w:lang w:val="en-US"/>
        </w:rPr>
      </w:pPr>
      <w:r w:rsidRPr="007C72B8">
        <w:rPr>
          <w:lang w:val="en-US"/>
        </w:rPr>
        <w:t xml:space="preserve">A list of Canadian educational institutions currently recognized, authorized, </w:t>
      </w:r>
      <w:proofErr w:type="gramStart"/>
      <w:r w:rsidRPr="007C72B8">
        <w:rPr>
          <w:lang w:val="en-US"/>
        </w:rPr>
        <w:t>registered</w:t>
      </w:r>
      <w:proofErr w:type="gramEnd"/>
      <w:r w:rsidRPr="007C72B8">
        <w:rPr>
          <w:lang w:val="en-US"/>
        </w:rPr>
        <w:t xml:space="preserve"> and licensed by competent authorities in the province and territories of Canada is available through the Canadian Information Center for international credentials</w:t>
      </w:r>
      <w:r>
        <w:rPr>
          <w:lang w:val="en-US"/>
        </w:rPr>
        <w:t>.</w:t>
      </w:r>
      <w:r w:rsidRPr="007C72B8">
        <w:rPr>
          <w:lang w:val="en-US"/>
        </w:rPr>
        <w:t xml:space="preserve"> Programs offered outside of Canada are not eligible</w:t>
      </w:r>
      <w:r>
        <w:rPr>
          <w:lang w:val="en-US"/>
        </w:rPr>
        <w:t>.</w:t>
      </w:r>
    </w:p>
    <w:p w14:paraId="259DE4BF" w14:textId="77777777" w:rsidR="007C72B8" w:rsidRDefault="007C72B8" w:rsidP="00D974C9">
      <w:pPr>
        <w:ind w:left="720"/>
        <w:rPr>
          <w:lang w:val="en-US"/>
        </w:rPr>
      </w:pPr>
    </w:p>
    <w:p w14:paraId="5457BF0C" w14:textId="2DE673BF" w:rsidR="007C72B8" w:rsidRPr="006B6AFD" w:rsidRDefault="007C72B8" w:rsidP="00D974C9">
      <w:pPr>
        <w:ind w:left="720"/>
        <w:rPr>
          <w:b/>
          <w:bCs/>
          <w:lang w:val="en-US"/>
        </w:rPr>
      </w:pPr>
      <w:r w:rsidRPr="006B6AFD">
        <w:rPr>
          <w:b/>
          <w:bCs/>
          <w:lang w:val="en-US"/>
        </w:rPr>
        <w:t>Eligible expenditures</w:t>
      </w:r>
    </w:p>
    <w:p w14:paraId="15BBD5F8" w14:textId="15FDEAF2" w:rsidR="007C72B8" w:rsidRDefault="00C443AB" w:rsidP="007C72B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</w:t>
      </w:r>
      <w:r w:rsidR="007C72B8" w:rsidRPr="007C72B8">
        <w:rPr>
          <w:lang w:val="en-US"/>
        </w:rPr>
        <w:t>uition and other student fees</w:t>
      </w:r>
    </w:p>
    <w:p w14:paraId="69E8A346" w14:textId="78ACA5A0" w:rsidR="007C72B8" w:rsidRDefault="00C443AB" w:rsidP="007C72B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</w:t>
      </w:r>
      <w:r w:rsidR="007C72B8" w:rsidRPr="007C72B8">
        <w:rPr>
          <w:lang w:val="en-US"/>
        </w:rPr>
        <w:t xml:space="preserve">ooks and supplies required by the </w:t>
      </w:r>
      <w:proofErr w:type="gramStart"/>
      <w:r w:rsidR="007C72B8" w:rsidRPr="007C72B8">
        <w:rPr>
          <w:lang w:val="en-US"/>
        </w:rPr>
        <w:t>student</w:t>
      </w:r>
      <w:proofErr w:type="gramEnd"/>
    </w:p>
    <w:p w14:paraId="5224C77F" w14:textId="2D6FC411" w:rsidR="007C72B8" w:rsidRDefault="00C443AB" w:rsidP="007C72B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</w:t>
      </w:r>
      <w:r w:rsidR="007C72B8" w:rsidRPr="007C72B8">
        <w:rPr>
          <w:lang w:val="en-US"/>
        </w:rPr>
        <w:t xml:space="preserve">fficial transcript </w:t>
      </w:r>
      <w:r w:rsidR="007C72B8">
        <w:rPr>
          <w:lang w:val="en-US"/>
        </w:rPr>
        <w:t xml:space="preserve">and other </w:t>
      </w:r>
      <w:r w:rsidR="007C72B8" w:rsidRPr="007C72B8">
        <w:rPr>
          <w:lang w:val="en-US"/>
        </w:rPr>
        <w:t>student fees</w:t>
      </w:r>
    </w:p>
    <w:p w14:paraId="52E56B81" w14:textId="17DA1CD9" w:rsidR="007C72B8" w:rsidRDefault="00C443AB" w:rsidP="007C72B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</w:t>
      </w:r>
      <w:r w:rsidR="00AE5F33">
        <w:rPr>
          <w:lang w:val="en-US"/>
        </w:rPr>
        <w:t xml:space="preserve">iving allowance </w:t>
      </w:r>
      <w:r w:rsidR="006B6AFD">
        <w:rPr>
          <w:lang w:val="en-US"/>
        </w:rPr>
        <w:t>e</w:t>
      </w:r>
      <w:r w:rsidR="007C72B8" w:rsidRPr="007C72B8">
        <w:rPr>
          <w:lang w:val="en-US"/>
        </w:rPr>
        <w:t xml:space="preserve">xpenses </w:t>
      </w:r>
      <w:r w:rsidR="00AE5F33">
        <w:rPr>
          <w:lang w:val="en-US"/>
        </w:rPr>
        <w:t xml:space="preserve">for the student and </w:t>
      </w:r>
      <w:r w:rsidR="007C72B8" w:rsidRPr="007C72B8">
        <w:rPr>
          <w:lang w:val="en-US"/>
        </w:rPr>
        <w:t xml:space="preserve">for </w:t>
      </w:r>
      <w:r w:rsidR="00AE5F33">
        <w:rPr>
          <w:lang w:val="en-US"/>
        </w:rPr>
        <w:t xml:space="preserve">their </w:t>
      </w:r>
      <w:r w:rsidR="006B6AFD">
        <w:rPr>
          <w:lang w:val="en-US"/>
        </w:rPr>
        <w:t xml:space="preserve">minor </w:t>
      </w:r>
      <w:r w:rsidR="007C72B8" w:rsidRPr="007C72B8">
        <w:rPr>
          <w:lang w:val="en-US"/>
        </w:rPr>
        <w:t>dependents</w:t>
      </w:r>
    </w:p>
    <w:p w14:paraId="0E6E0398" w14:textId="56F86E67" w:rsidR="007C72B8" w:rsidRDefault="00C443AB" w:rsidP="007C72B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</w:t>
      </w:r>
      <w:r w:rsidR="007C72B8" w:rsidRPr="007C72B8">
        <w:rPr>
          <w:lang w:val="en-US"/>
        </w:rPr>
        <w:t xml:space="preserve">xpenses associated with travel </w:t>
      </w:r>
      <w:r w:rsidR="006B6AFD">
        <w:rPr>
          <w:lang w:val="en-US"/>
        </w:rPr>
        <w:t xml:space="preserve">from home </w:t>
      </w:r>
      <w:r w:rsidR="00AE5F33">
        <w:rPr>
          <w:lang w:val="en-US"/>
        </w:rPr>
        <w:t xml:space="preserve">community </w:t>
      </w:r>
      <w:r w:rsidR="006B6AFD">
        <w:rPr>
          <w:lang w:val="en-US"/>
        </w:rPr>
        <w:t>to post-secondary institution at start of academic year, one return holiday trip</w:t>
      </w:r>
      <w:r w:rsidR="00AE5F33">
        <w:rPr>
          <w:lang w:val="en-US"/>
        </w:rPr>
        <w:t>,</w:t>
      </w:r>
      <w:r w:rsidR="006B6AFD">
        <w:rPr>
          <w:lang w:val="en-US"/>
        </w:rPr>
        <w:t xml:space="preserve"> and one trip back home at the completion of the academic year </w:t>
      </w:r>
      <w:r w:rsidR="007C72B8" w:rsidRPr="007C72B8">
        <w:rPr>
          <w:lang w:val="en-US"/>
        </w:rPr>
        <w:t xml:space="preserve">for </w:t>
      </w:r>
      <w:r w:rsidR="006B6AFD">
        <w:rPr>
          <w:lang w:val="en-US"/>
        </w:rPr>
        <w:t>the student and m</w:t>
      </w:r>
      <w:r w:rsidR="001F2BDD">
        <w:rPr>
          <w:lang w:val="en-US"/>
        </w:rPr>
        <w:t xml:space="preserve">inor </w:t>
      </w:r>
      <w:proofErr w:type="gramStart"/>
      <w:r w:rsidR="007C72B8" w:rsidRPr="007C72B8">
        <w:rPr>
          <w:lang w:val="en-US"/>
        </w:rPr>
        <w:t>dependents</w:t>
      </w:r>
      <w:proofErr w:type="gramEnd"/>
    </w:p>
    <w:p w14:paraId="1D5EF78C" w14:textId="77777777" w:rsidR="00E44E10" w:rsidRDefault="00E44E10" w:rsidP="00E44E10">
      <w:pPr>
        <w:rPr>
          <w:lang w:val="en-US"/>
        </w:rPr>
      </w:pPr>
    </w:p>
    <w:p w14:paraId="19FC538E" w14:textId="77777777" w:rsidR="004D638B" w:rsidRDefault="004D638B" w:rsidP="00E44E10">
      <w:pPr>
        <w:rPr>
          <w:lang w:val="en-US"/>
        </w:rPr>
      </w:pPr>
    </w:p>
    <w:p w14:paraId="23B67BD1" w14:textId="77777777" w:rsidR="004D638B" w:rsidRDefault="004D638B" w:rsidP="00E44E10">
      <w:pPr>
        <w:rPr>
          <w:lang w:val="en-US"/>
        </w:rPr>
      </w:pPr>
    </w:p>
    <w:p w14:paraId="2327B52F" w14:textId="77777777" w:rsidR="00C443AB" w:rsidRDefault="00C443AB" w:rsidP="00E44E10">
      <w:pPr>
        <w:rPr>
          <w:lang w:val="en-US"/>
        </w:rPr>
      </w:pPr>
    </w:p>
    <w:p w14:paraId="552217F6" w14:textId="77777777" w:rsidR="00C443AB" w:rsidRDefault="00C443AB" w:rsidP="00E44E10">
      <w:pPr>
        <w:rPr>
          <w:lang w:val="en-US"/>
        </w:rPr>
      </w:pPr>
    </w:p>
    <w:p w14:paraId="0D1DDE1D" w14:textId="77777777" w:rsidR="00C443AB" w:rsidRDefault="00C443AB" w:rsidP="00E44E10">
      <w:pPr>
        <w:rPr>
          <w:lang w:val="en-US"/>
        </w:rPr>
      </w:pPr>
    </w:p>
    <w:p w14:paraId="73F56809" w14:textId="77777777" w:rsidR="00C443AB" w:rsidRDefault="00C443AB" w:rsidP="00E44E10">
      <w:pPr>
        <w:rPr>
          <w:lang w:val="en-US"/>
        </w:rPr>
      </w:pPr>
    </w:p>
    <w:p w14:paraId="5E925847" w14:textId="77777777" w:rsidR="00C443AB" w:rsidRDefault="00C443AB" w:rsidP="00E44E10">
      <w:pPr>
        <w:rPr>
          <w:lang w:val="en-US"/>
        </w:rPr>
      </w:pPr>
    </w:p>
    <w:p w14:paraId="0D467873" w14:textId="77777777" w:rsidR="004D638B" w:rsidRDefault="004D638B" w:rsidP="00E44E10">
      <w:pPr>
        <w:rPr>
          <w:lang w:val="en-US"/>
        </w:rPr>
      </w:pPr>
    </w:p>
    <w:p w14:paraId="25CF92FC" w14:textId="7DC82F34" w:rsidR="00E44E10" w:rsidRPr="00D974C9" w:rsidRDefault="00E44E10" w:rsidP="00D974C9">
      <w:pPr>
        <w:ind w:left="720"/>
        <w:rPr>
          <w:b/>
          <w:bCs/>
          <w:lang w:val="en-US"/>
        </w:rPr>
      </w:pPr>
      <w:r w:rsidRPr="00D974C9">
        <w:rPr>
          <w:b/>
          <w:bCs/>
          <w:lang w:val="en-US"/>
        </w:rPr>
        <w:t xml:space="preserve">Ineligible </w:t>
      </w:r>
      <w:r w:rsidR="00C443AB">
        <w:rPr>
          <w:b/>
          <w:bCs/>
          <w:lang w:val="en-US"/>
        </w:rPr>
        <w:t>E</w:t>
      </w:r>
      <w:r w:rsidRPr="00D974C9">
        <w:rPr>
          <w:b/>
          <w:bCs/>
          <w:lang w:val="en-US"/>
        </w:rPr>
        <w:t>xpenditures</w:t>
      </w:r>
    </w:p>
    <w:p w14:paraId="21572ED6" w14:textId="6356F6CE" w:rsidR="00E44E10" w:rsidRDefault="00C443AB" w:rsidP="00E44E1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E</w:t>
      </w:r>
      <w:r w:rsidR="00E44E10" w:rsidRPr="00E44E10">
        <w:rPr>
          <w:lang w:val="en-US"/>
        </w:rPr>
        <w:t xml:space="preserve">xpenses incurred retroactively or in a previous academic </w:t>
      </w:r>
      <w:proofErr w:type="gramStart"/>
      <w:r w:rsidR="00E44E10" w:rsidRPr="00E44E10">
        <w:rPr>
          <w:lang w:val="en-US"/>
        </w:rPr>
        <w:t>yea</w:t>
      </w:r>
      <w:r w:rsidR="00AE5F33">
        <w:rPr>
          <w:lang w:val="en-US"/>
        </w:rPr>
        <w:t>r</w:t>
      </w:r>
      <w:proofErr w:type="gramEnd"/>
    </w:p>
    <w:p w14:paraId="3E7758AD" w14:textId="541AEE76" w:rsidR="00C443AB" w:rsidRDefault="00C443AB" w:rsidP="00E44E1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Tuition costs at an institution not recognized as a Canadian post-secondary College or University</w:t>
      </w:r>
    </w:p>
    <w:p w14:paraId="5F242C85" w14:textId="3873AC06" w:rsidR="00E44E10" w:rsidRDefault="00C443AB" w:rsidP="00E44E1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</w:t>
      </w:r>
      <w:r w:rsidR="00E44E10" w:rsidRPr="00E44E10">
        <w:rPr>
          <w:lang w:val="en-US"/>
        </w:rPr>
        <w:t>ravel supports that is not the lowest cost option</w:t>
      </w:r>
      <w:r w:rsidR="00E44E10">
        <w:rPr>
          <w:lang w:val="en-US"/>
        </w:rPr>
        <w:t xml:space="preserve">. </w:t>
      </w:r>
      <w:r w:rsidR="00E44E10" w:rsidRPr="00E44E10">
        <w:rPr>
          <w:lang w:val="en-US"/>
        </w:rPr>
        <w:t>In all cases travel support will strive to be in keeping with the lowest cost options available at the time of travel</w:t>
      </w:r>
    </w:p>
    <w:p w14:paraId="0632676E" w14:textId="04A85105" w:rsidR="00E44E10" w:rsidRDefault="00C443AB" w:rsidP="00E44E1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</w:t>
      </w:r>
      <w:r w:rsidR="00E44E10" w:rsidRPr="00E44E10">
        <w:rPr>
          <w:lang w:val="en-US"/>
        </w:rPr>
        <w:t xml:space="preserve">ravel supports </w:t>
      </w:r>
      <w:r w:rsidR="00AE5F33">
        <w:rPr>
          <w:lang w:val="en-US"/>
        </w:rPr>
        <w:t xml:space="preserve">for moving large items or furniture </w:t>
      </w:r>
      <w:r w:rsidR="00E44E10" w:rsidRPr="00E44E10">
        <w:rPr>
          <w:lang w:val="en-US"/>
        </w:rPr>
        <w:t>or excess</w:t>
      </w:r>
      <w:r w:rsidR="00AE5F33">
        <w:rPr>
          <w:lang w:val="en-US"/>
        </w:rPr>
        <w:t>ive</w:t>
      </w:r>
      <w:r w:rsidR="00E44E10" w:rsidRPr="00E44E10">
        <w:rPr>
          <w:lang w:val="en-US"/>
        </w:rPr>
        <w:t xml:space="preserve"> cargo or </w:t>
      </w:r>
      <w:proofErr w:type="gramStart"/>
      <w:r w:rsidR="00E44E10" w:rsidRPr="00E44E10">
        <w:rPr>
          <w:lang w:val="en-US"/>
        </w:rPr>
        <w:t>freight</w:t>
      </w:r>
      <w:proofErr w:type="gramEnd"/>
    </w:p>
    <w:p w14:paraId="19FB3085" w14:textId="4A350114" w:rsidR="001F2BDD" w:rsidRDefault="00C443AB" w:rsidP="00E44E1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</w:t>
      </w:r>
      <w:r w:rsidR="001F2BDD">
        <w:rPr>
          <w:lang w:val="en-US"/>
        </w:rPr>
        <w:t>ell phone charges</w:t>
      </w:r>
    </w:p>
    <w:p w14:paraId="2304CC71" w14:textId="77777777" w:rsidR="001F2BDD" w:rsidRDefault="001F2BDD" w:rsidP="00E44E10">
      <w:pPr>
        <w:rPr>
          <w:lang w:val="en-US"/>
        </w:rPr>
      </w:pPr>
    </w:p>
    <w:p w14:paraId="70B6630F" w14:textId="1D92C7B9" w:rsidR="00E44E10" w:rsidRPr="00D974C9" w:rsidRDefault="00E44E10" w:rsidP="00D974C9">
      <w:pPr>
        <w:ind w:left="720"/>
        <w:rPr>
          <w:b/>
          <w:bCs/>
          <w:lang w:val="en-US"/>
        </w:rPr>
      </w:pPr>
      <w:r w:rsidRPr="00D974C9">
        <w:rPr>
          <w:b/>
          <w:bCs/>
          <w:lang w:val="en-US"/>
        </w:rPr>
        <w:t>Living Allowances</w:t>
      </w:r>
    </w:p>
    <w:p w14:paraId="7F983EDD" w14:textId="29FEA558" w:rsidR="00E44E10" w:rsidRDefault="00E44E10" w:rsidP="00E44E10">
      <w:pPr>
        <w:pStyle w:val="ListParagraph"/>
        <w:numPr>
          <w:ilvl w:val="0"/>
          <w:numId w:val="4"/>
        </w:numPr>
        <w:rPr>
          <w:lang w:val="en-US"/>
        </w:rPr>
      </w:pPr>
      <w:r w:rsidRPr="00E44E10">
        <w:rPr>
          <w:lang w:val="en-US"/>
        </w:rPr>
        <w:t xml:space="preserve">Living allowances will be </w:t>
      </w:r>
      <w:r w:rsidR="001F2BDD">
        <w:rPr>
          <w:lang w:val="en-US"/>
        </w:rPr>
        <w:t xml:space="preserve">approved based on a </w:t>
      </w:r>
      <w:r w:rsidRPr="00E44E10">
        <w:rPr>
          <w:lang w:val="en-US"/>
        </w:rPr>
        <w:t xml:space="preserve">review of estimates or quotes for the cost of </w:t>
      </w:r>
      <w:r w:rsidR="001F2BDD">
        <w:rPr>
          <w:lang w:val="en-US"/>
        </w:rPr>
        <w:t>rental accommodation</w:t>
      </w:r>
      <w:r w:rsidR="00AE5F33">
        <w:rPr>
          <w:lang w:val="en-US"/>
        </w:rPr>
        <w:t>,</w:t>
      </w:r>
      <w:r w:rsidR="001F2BDD">
        <w:rPr>
          <w:lang w:val="en-US"/>
        </w:rPr>
        <w:t xml:space="preserve"> </w:t>
      </w:r>
      <w:proofErr w:type="gramStart"/>
      <w:r w:rsidR="001F2BDD">
        <w:rPr>
          <w:lang w:val="en-US"/>
        </w:rPr>
        <w:t>utilities</w:t>
      </w:r>
      <w:proofErr w:type="gramEnd"/>
      <w:r w:rsidR="00AE5F33">
        <w:rPr>
          <w:lang w:val="en-US"/>
        </w:rPr>
        <w:t xml:space="preserve"> and internet</w:t>
      </w:r>
      <w:r w:rsidR="00C443AB">
        <w:rPr>
          <w:lang w:val="en-US"/>
        </w:rPr>
        <w:t xml:space="preserve"> over the period of the school year, generally for 9 or 10 months</w:t>
      </w:r>
      <w:r w:rsidR="00E24217">
        <w:rPr>
          <w:lang w:val="en-US"/>
        </w:rPr>
        <w:t xml:space="preserve"> (i</w:t>
      </w:r>
      <w:r w:rsidR="00F40C2A">
        <w:rPr>
          <w:lang w:val="en-US"/>
        </w:rPr>
        <w:t xml:space="preserve">t is the responsibility of the applicant to provide quotes and estimates for </w:t>
      </w:r>
      <w:r w:rsidR="00AE5F33">
        <w:rPr>
          <w:lang w:val="en-US"/>
        </w:rPr>
        <w:t>these expenses</w:t>
      </w:r>
      <w:r w:rsidR="00E24217">
        <w:rPr>
          <w:lang w:val="en-US"/>
        </w:rPr>
        <w:t>)</w:t>
      </w:r>
      <w:r w:rsidR="00F40C2A">
        <w:rPr>
          <w:lang w:val="en-US"/>
        </w:rPr>
        <w:t>.</w:t>
      </w:r>
    </w:p>
    <w:p w14:paraId="0CBC5DCF" w14:textId="23B707B5" w:rsidR="001F2BDD" w:rsidRDefault="00E44E10" w:rsidP="00E44E10">
      <w:pPr>
        <w:pStyle w:val="ListParagraph"/>
        <w:numPr>
          <w:ilvl w:val="0"/>
          <w:numId w:val="4"/>
        </w:numPr>
        <w:rPr>
          <w:lang w:val="en-US"/>
        </w:rPr>
      </w:pPr>
      <w:r w:rsidRPr="00E44E10">
        <w:rPr>
          <w:lang w:val="en-US"/>
        </w:rPr>
        <w:t>Living allowance</w:t>
      </w:r>
      <w:r>
        <w:rPr>
          <w:lang w:val="en-US"/>
        </w:rPr>
        <w:t>s</w:t>
      </w:r>
      <w:r w:rsidRPr="00E44E10">
        <w:rPr>
          <w:lang w:val="en-US"/>
        </w:rPr>
        <w:t xml:space="preserve"> will be paid </w:t>
      </w:r>
      <w:r w:rsidR="001F2BDD">
        <w:rPr>
          <w:lang w:val="en-US"/>
        </w:rPr>
        <w:t>monthly, on the first of the month throughout the dura</w:t>
      </w:r>
      <w:r w:rsidR="00F40C2A">
        <w:rPr>
          <w:lang w:val="en-US"/>
        </w:rPr>
        <w:t>tion</w:t>
      </w:r>
      <w:r w:rsidR="001F2BDD">
        <w:rPr>
          <w:lang w:val="en-US"/>
        </w:rPr>
        <w:t xml:space="preserve"> of the </w:t>
      </w:r>
      <w:r w:rsidR="00E24217">
        <w:rPr>
          <w:lang w:val="en-US"/>
        </w:rPr>
        <w:t>school year</w:t>
      </w:r>
      <w:r w:rsidR="001F2BDD">
        <w:rPr>
          <w:lang w:val="en-US"/>
        </w:rPr>
        <w:t xml:space="preserve"> including </w:t>
      </w:r>
      <w:r w:rsidR="00F40C2A">
        <w:rPr>
          <w:lang w:val="en-US"/>
        </w:rPr>
        <w:t xml:space="preserve">holiday and </w:t>
      </w:r>
      <w:r w:rsidR="001F2BDD">
        <w:rPr>
          <w:lang w:val="en-US"/>
        </w:rPr>
        <w:t xml:space="preserve">study breaks. </w:t>
      </w:r>
    </w:p>
    <w:p w14:paraId="397754A7" w14:textId="48D6FCFE" w:rsidR="00E44E10" w:rsidRDefault="001F2BDD" w:rsidP="00E44E1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Living allowance </w:t>
      </w:r>
      <w:r w:rsidR="00F40C2A">
        <w:rPr>
          <w:lang w:val="en-US"/>
        </w:rPr>
        <w:t xml:space="preserve">may be provided </w:t>
      </w:r>
      <w:r w:rsidR="00AE5F33">
        <w:rPr>
          <w:lang w:val="en-US"/>
        </w:rPr>
        <w:t xml:space="preserve">in advance </w:t>
      </w:r>
      <w:r w:rsidR="00F40C2A">
        <w:rPr>
          <w:lang w:val="en-US"/>
        </w:rPr>
        <w:t xml:space="preserve">of the academic year </w:t>
      </w:r>
      <w:r w:rsidR="00E44E10" w:rsidRPr="00E44E10">
        <w:rPr>
          <w:lang w:val="en-US"/>
        </w:rPr>
        <w:t xml:space="preserve">to </w:t>
      </w:r>
      <w:r w:rsidR="00F40C2A">
        <w:rPr>
          <w:lang w:val="en-US"/>
        </w:rPr>
        <w:t xml:space="preserve">allow students to </w:t>
      </w:r>
      <w:r w:rsidR="00E44E10" w:rsidRPr="00E44E10">
        <w:rPr>
          <w:lang w:val="en-US"/>
        </w:rPr>
        <w:t>settle into their accommodations</w:t>
      </w:r>
      <w:r w:rsidR="00E44E10">
        <w:rPr>
          <w:lang w:val="en-US"/>
        </w:rPr>
        <w:t>.</w:t>
      </w:r>
    </w:p>
    <w:p w14:paraId="4A1B1D4B" w14:textId="50B6A3B5" w:rsidR="00E44E10" w:rsidRDefault="00F40C2A" w:rsidP="00E44E1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In cases in which a security deposit or </w:t>
      </w:r>
      <w:r w:rsidR="00AE5F33">
        <w:rPr>
          <w:lang w:val="en-US"/>
        </w:rPr>
        <w:t xml:space="preserve">other </w:t>
      </w:r>
      <w:r>
        <w:rPr>
          <w:lang w:val="en-US"/>
        </w:rPr>
        <w:t xml:space="preserve">necessary </w:t>
      </w:r>
      <w:r w:rsidR="00AE5F33">
        <w:rPr>
          <w:lang w:val="en-US"/>
        </w:rPr>
        <w:t xml:space="preserve">deposit(s) are </w:t>
      </w:r>
      <w:r>
        <w:rPr>
          <w:lang w:val="en-US"/>
        </w:rPr>
        <w:t xml:space="preserve">required upfront, students </w:t>
      </w:r>
      <w:r w:rsidR="00E44E10" w:rsidRPr="00E44E10">
        <w:rPr>
          <w:lang w:val="en-US"/>
        </w:rPr>
        <w:t xml:space="preserve">may </w:t>
      </w:r>
      <w:r>
        <w:rPr>
          <w:lang w:val="en-US"/>
        </w:rPr>
        <w:t>apply f</w:t>
      </w:r>
      <w:r w:rsidR="00E24217">
        <w:rPr>
          <w:lang w:val="en-US"/>
        </w:rPr>
        <w:t xml:space="preserve">or advance </w:t>
      </w:r>
      <w:r>
        <w:rPr>
          <w:lang w:val="en-US"/>
        </w:rPr>
        <w:t xml:space="preserve">funding </w:t>
      </w:r>
      <w:r w:rsidR="00AE5F33">
        <w:rPr>
          <w:lang w:val="en-US"/>
        </w:rPr>
        <w:t xml:space="preserve">for these </w:t>
      </w:r>
      <w:r w:rsidR="00E24217">
        <w:rPr>
          <w:lang w:val="en-US"/>
        </w:rPr>
        <w:t>items (s</w:t>
      </w:r>
      <w:r>
        <w:rPr>
          <w:lang w:val="en-US"/>
        </w:rPr>
        <w:t>upporting documentation may be required</w:t>
      </w:r>
      <w:r w:rsidR="00E24217">
        <w:rPr>
          <w:lang w:val="en-US"/>
        </w:rPr>
        <w:t>)</w:t>
      </w:r>
      <w:r>
        <w:rPr>
          <w:lang w:val="en-US"/>
        </w:rPr>
        <w:t>.</w:t>
      </w:r>
    </w:p>
    <w:p w14:paraId="32667349" w14:textId="5F0CCA4C" w:rsidR="00E44E10" w:rsidRPr="00E44E10" w:rsidRDefault="00E44E10" w:rsidP="00E44E10">
      <w:pPr>
        <w:pStyle w:val="ListParagraph"/>
        <w:numPr>
          <w:ilvl w:val="0"/>
          <w:numId w:val="4"/>
        </w:numPr>
        <w:rPr>
          <w:lang w:val="en-US"/>
        </w:rPr>
      </w:pPr>
      <w:r w:rsidRPr="00E44E10">
        <w:rPr>
          <w:lang w:val="en-US"/>
        </w:rPr>
        <w:t xml:space="preserve">Where a student is </w:t>
      </w:r>
      <w:r w:rsidR="00E24217">
        <w:rPr>
          <w:lang w:val="en-US"/>
        </w:rPr>
        <w:t xml:space="preserve">given </w:t>
      </w:r>
      <w:r w:rsidR="00F40C2A">
        <w:rPr>
          <w:lang w:val="en-US"/>
        </w:rPr>
        <w:t>a</w:t>
      </w:r>
      <w:r w:rsidRPr="00E44E10">
        <w:rPr>
          <w:lang w:val="en-US"/>
        </w:rPr>
        <w:t>n advance for security deposit</w:t>
      </w:r>
      <w:r w:rsidR="00F40C2A">
        <w:rPr>
          <w:lang w:val="en-US"/>
        </w:rPr>
        <w:t>,</w:t>
      </w:r>
      <w:r w:rsidRPr="00E44E10">
        <w:rPr>
          <w:lang w:val="en-US"/>
        </w:rPr>
        <w:t xml:space="preserve"> that amount may be retained by the student at the end of </w:t>
      </w:r>
      <w:r w:rsidR="00E24217">
        <w:rPr>
          <w:lang w:val="en-US"/>
        </w:rPr>
        <w:t xml:space="preserve">the school </w:t>
      </w:r>
      <w:r w:rsidRPr="00E44E10">
        <w:rPr>
          <w:lang w:val="en-US"/>
        </w:rPr>
        <w:t>year provided that the student has completed the program successfully</w:t>
      </w:r>
      <w:r>
        <w:rPr>
          <w:lang w:val="en-US"/>
        </w:rPr>
        <w:t xml:space="preserve">. </w:t>
      </w:r>
      <w:r w:rsidRPr="00E44E10">
        <w:rPr>
          <w:lang w:val="en-US"/>
        </w:rPr>
        <w:t>If a student does not complete the program</w:t>
      </w:r>
      <w:r w:rsidR="00F40C2A">
        <w:rPr>
          <w:lang w:val="en-US"/>
        </w:rPr>
        <w:t>,</w:t>
      </w:r>
      <w:r w:rsidRPr="00E44E10">
        <w:rPr>
          <w:lang w:val="en-US"/>
        </w:rPr>
        <w:t xml:space="preserve"> the security deposit</w:t>
      </w:r>
      <w:r w:rsidR="00F40C2A">
        <w:rPr>
          <w:lang w:val="en-US"/>
        </w:rPr>
        <w:t xml:space="preserve"> </w:t>
      </w:r>
      <w:r w:rsidRPr="00E44E10">
        <w:rPr>
          <w:lang w:val="en-US"/>
        </w:rPr>
        <w:t xml:space="preserve">will be </w:t>
      </w:r>
      <w:r w:rsidR="00F40C2A">
        <w:rPr>
          <w:lang w:val="en-US"/>
        </w:rPr>
        <w:t xml:space="preserve">repayable </w:t>
      </w:r>
      <w:r w:rsidRPr="00E44E10">
        <w:rPr>
          <w:lang w:val="en-US"/>
        </w:rPr>
        <w:t xml:space="preserve">back to the </w:t>
      </w:r>
      <w:r w:rsidR="00F40C2A">
        <w:rPr>
          <w:lang w:val="en-US"/>
        </w:rPr>
        <w:t>program</w:t>
      </w:r>
      <w:r w:rsidR="00AE5F33">
        <w:rPr>
          <w:lang w:val="en-US"/>
        </w:rPr>
        <w:t xml:space="preserve"> immediately</w:t>
      </w:r>
      <w:r w:rsidR="00F40C2A">
        <w:rPr>
          <w:lang w:val="en-US"/>
        </w:rPr>
        <w:t>.</w:t>
      </w:r>
    </w:p>
    <w:p w14:paraId="6C23672E" w14:textId="77777777" w:rsidR="00D974C9" w:rsidRDefault="00D974C9" w:rsidP="00F40C2A">
      <w:pPr>
        <w:ind w:left="360"/>
        <w:rPr>
          <w:b/>
          <w:bCs/>
          <w:lang w:val="en-US"/>
        </w:rPr>
      </w:pPr>
    </w:p>
    <w:p w14:paraId="49F656FB" w14:textId="49383468" w:rsidR="00F40C2A" w:rsidRPr="00F40C2A" w:rsidRDefault="00E44E10" w:rsidP="00D974C9">
      <w:pPr>
        <w:ind w:left="720"/>
        <w:rPr>
          <w:b/>
          <w:bCs/>
          <w:lang w:val="en-US"/>
        </w:rPr>
      </w:pPr>
      <w:r w:rsidRPr="00F40C2A">
        <w:rPr>
          <w:b/>
          <w:bCs/>
          <w:lang w:val="en-US"/>
        </w:rPr>
        <w:t>Eligible Tuition</w:t>
      </w:r>
    </w:p>
    <w:p w14:paraId="49FD65E9" w14:textId="55BF4AA7" w:rsidR="00E44E10" w:rsidRDefault="00E44E10" w:rsidP="00D974C9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00E44E10">
        <w:rPr>
          <w:lang w:val="en-US"/>
        </w:rPr>
        <w:t xml:space="preserve">The </w:t>
      </w:r>
      <w:proofErr w:type="gramStart"/>
      <w:r w:rsidRPr="00E44E10">
        <w:rPr>
          <w:lang w:val="en-US"/>
        </w:rPr>
        <w:t>student</w:t>
      </w:r>
      <w:proofErr w:type="gramEnd"/>
      <w:r w:rsidRPr="00E44E10">
        <w:rPr>
          <w:lang w:val="en-US"/>
        </w:rPr>
        <w:t xml:space="preserve"> will provide documentary evidence of tuition, </w:t>
      </w:r>
      <w:proofErr w:type="gramStart"/>
      <w:r w:rsidRPr="00E44E10">
        <w:rPr>
          <w:lang w:val="en-US"/>
        </w:rPr>
        <w:t>registration</w:t>
      </w:r>
      <w:proofErr w:type="gramEnd"/>
      <w:r w:rsidRPr="00E44E10">
        <w:rPr>
          <w:lang w:val="en-US"/>
        </w:rPr>
        <w:t xml:space="preserve"> and student fees</w:t>
      </w:r>
      <w:r>
        <w:rPr>
          <w:lang w:val="en-US"/>
        </w:rPr>
        <w:t>.</w:t>
      </w:r>
    </w:p>
    <w:p w14:paraId="598B6BAF" w14:textId="559E09C7" w:rsidR="00E44E10" w:rsidRPr="00E44E10" w:rsidRDefault="00E44E10" w:rsidP="00D974C9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00E44E10">
        <w:rPr>
          <w:lang w:val="en-US"/>
        </w:rPr>
        <w:t xml:space="preserve">The program will issue payment directly </w:t>
      </w:r>
      <w:r w:rsidR="00AE5F33">
        <w:rPr>
          <w:lang w:val="en-US"/>
        </w:rPr>
        <w:t xml:space="preserve">to </w:t>
      </w:r>
      <w:r w:rsidRPr="00E44E10">
        <w:rPr>
          <w:lang w:val="en-US"/>
        </w:rPr>
        <w:t xml:space="preserve">the </w:t>
      </w:r>
      <w:r w:rsidR="00AE5F33" w:rsidRPr="00E44E10">
        <w:rPr>
          <w:lang w:val="en-US"/>
        </w:rPr>
        <w:t>post-secondary</w:t>
      </w:r>
      <w:r w:rsidRPr="00E44E10">
        <w:rPr>
          <w:lang w:val="en-US"/>
        </w:rPr>
        <w:t xml:space="preserve"> institution</w:t>
      </w:r>
      <w:r w:rsidR="00AE5F33">
        <w:rPr>
          <w:lang w:val="en-US"/>
        </w:rPr>
        <w:t>,</w:t>
      </w:r>
      <w:r w:rsidRPr="00E44E10">
        <w:rPr>
          <w:lang w:val="en-US"/>
        </w:rPr>
        <w:t xml:space="preserve"> in exceptional circumstances tuition support may be paid directly to the student</w:t>
      </w:r>
      <w:r>
        <w:rPr>
          <w:lang w:val="en-US"/>
        </w:rPr>
        <w:t>.</w:t>
      </w:r>
    </w:p>
    <w:p w14:paraId="134A9D37" w14:textId="77777777" w:rsidR="007C72B8" w:rsidRDefault="007C72B8" w:rsidP="00D974C9">
      <w:pPr>
        <w:ind w:left="360"/>
      </w:pPr>
    </w:p>
    <w:p w14:paraId="62956667" w14:textId="77777777" w:rsidR="004D638B" w:rsidRPr="007B5817" w:rsidRDefault="004D638B" w:rsidP="007B5817">
      <w:pPr>
        <w:ind w:left="720"/>
        <w:rPr>
          <w:b/>
          <w:bCs/>
        </w:rPr>
      </w:pPr>
      <w:r w:rsidRPr="007B5817">
        <w:rPr>
          <w:b/>
          <w:bCs/>
        </w:rPr>
        <w:t>Funding Maximum</w:t>
      </w:r>
    </w:p>
    <w:p w14:paraId="79D6E039" w14:textId="791DA50E" w:rsidR="00A32F60" w:rsidRDefault="00A32F60" w:rsidP="00A32F60">
      <w:pPr>
        <w:pStyle w:val="ListParagraph"/>
        <w:numPr>
          <w:ilvl w:val="0"/>
          <w:numId w:val="8"/>
        </w:numPr>
      </w:pPr>
      <w:r>
        <w:t xml:space="preserve">$1,000 per month for up to </w:t>
      </w:r>
      <w:r w:rsidR="00E24217">
        <w:t>10</w:t>
      </w:r>
      <w:r>
        <w:t xml:space="preserve"> months</w:t>
      </w:r>
      <w:r w:rsidR="004D638B">
        <w:t xml:space="preserve"> for rent and housing costs</w:t>
      </w:r>
      <w:r>
        <w:t>.</w:t>
      </w:r>
    </w:p>
    <w:p w14:paraId="473458EA" w14:textId="7D173068" w:rsidR="004D638B" w:rsidRDefault="004D638B" w:rsidP="00A32F60">
      <w:pPr>
        <w:pStyle w:val="ListParagraph"/>
        <w:numPr>
          <w:ilvl w:val="0"/>
          <w:numId w:val="8"/>
        </w:numPr>
      </w:pPr>
      <w:r>
        <w:t>Lowest cost travel for student and minor dependents for 3 trips to/from home community per year.</w:t>
      </w:r>
    </w:p>
    <w:p w14:paraId="250CE71A" w14:textId="4524573B" w:rsidR="004D638B" w:rsidRDefault="004D638B" w:rsidP="00A32F60">
      <w:pPr>
        <w:pStyle w:val="ListParagraph"/>
        <w:numPr>
          <w:ilvl w:val="0"/>
          <w:numId w:val="8"/>
        </w:numPr>
      </w:pPr>
      <w:r>
        <w:t xml:space="preserve">Tuition </w:t>
      </w:r>
      <w:r w:rsidR="00E24217">
        <w:t>paid according to invoices or receipts provided by the institution—for full academic year.</w:t>
      </w:r>
    </w:p>
    <w:p w14:paraId="2EA6C3EE" w14:textId="77777777" w:rsidR="004D638B" w:rsidRDefault="004D638B" w:rsidP="004D638B">
      <w:pPr>
        <w:pStyle w:val="ListParagraph"/>
      </w:pPr>
    </w:p>
    <w:p w14:paraId="59DE54B4" w14:textId="77777777" w:rsidR="004D638B" w:rsidRDefault="004D638B" w:rsidP="004D638B">
      <w:pPr>
        <w:pStyle w:val="ListParagraph"/>
      </w:pPr>
    </w:p>
    <w:p w14:paraId="44AF1EDC" w14:textId="77777777" w:rsidR="004D638B" w:rsidRDefault="004D638B" w:rsidP="004D638B">
      <w:pPr>
        <w:pStyle w:val="ListParagraph"/>
      </w:pPr>
    </w:p>
    <w:p w14:paraId="128BF346" w14:textId="77777777" w:rsidR="00A32F60" w:rsidRDefault="00A32F60" w:rsidP="00A32F60"/>
    <w:p w14:paraId="12A0357C" w14:textId="24E50ECC" w:rsidR="00A32F60" w:rsidRDefault="00A32F60" w:rsidP="00A32F60"/>
    <w:sectPr w:rsidR="00A32F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77322"/>
    <w:multiLevelType w:val="hybridMultilevel"/>
    <w:tmpl w:val="9EC0DB4E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BC54E0"/>
    <w:multiLevelType w:val="hybridMultilevel"/>
    <w:tmpl w:val="E0A6E7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1A04"/>
    <w:multiLevelType w:val="hybridMultilevel"/>
    <w:tmpl w:val="0DA02D8A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927D7E"/>
    <w:multiLevelType w:val="hybridMultilevel"/>
    <w:tmpl w:val="D1FEBB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C2BFA"/>
    <w:multiLevelType w:val="hybridMultilevel"/>
    <w:tmpl w:val="B986CCE2"/>
    <w:lvl w:ilvl="0" w:tplc="97AC32A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063DF"/>
    <w:multiLevelType w:val="hybridMultilevel"/>
    <w:tmpl w:val="AFCEF614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E368D4"/>
    <w:multiLevelType w:val="hybridMultilevel"/>
    <w:tmpl w:val="44086E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06B6E"/>
    <w:multiLevelType w:val="hybridMultilevel"/>
    <w:tmpl w:val="639CE534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9044835">
    <w:abstractNumId w:val="6"/>
  </w:num>
  <w:num w:numId="2" w16cid:durableId="1473711723">
    <w:abstractNumId w:val="5"/>
  </w:num>
  <w:num w:numId="3" w16cid:durableId="1775250306">
    <w:abstractNumId w:val="0"/>
  </w:num>
  <w:num w:numId="4" w16cid:durableId="95172318">
    <w:abstractNumId w:val="7"/>
  </w:num>
  <w:num w:numId="5" w16cid:durableId="402141676">
    <w:abstractNumId w:val="3"/>
  </w:num>
  <w:num w:numId="6" w16cid:durableId="1730808514">
    <w:abstractNumId w:val="1"/>
  </w:num>
  <w:num w:numId="7" w16cid:durableId="795297866">
    <w:abstractNumId w:val="4"/>
  </w:num>
  <w:num w:numId="8" w16cid:durableId="44378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60"/>
    <w:rsid w:val="001F2BDD"/>
    <w:rsid w:val="002063C9"/>
    <w:rsid w:val="002622CC"/>
    <w:rsid w:val="00285372"/>
    <w:rsid w:val="003C7391"/>
    <w:rsid w:val="00426E3F"/>
    <w:rsid w:val="004A2D46"/>
    <w:rsid w:val="004D638B"/>
    <w:rsid w:val="0051576B"/>
    <w:rsid w:val="00516577"/>
    <w:rsid w:val="00570275"/>
    <w:rsid w:val="005E3A44"/>
    <w:rsid w:val="006B6AFD"/>
    <w:rsid w:val="00705FB6"/>
    <w:rsid w:val="00742F73"/>
    <w:rsid w:val="00744A36"/>
    <w:rsid w:val="007B5817"/>
    <w:rsid w:val="007C2757"/>
    <w:rsid w:val="007C72B8"/>
    <w:rsid w:val="00A32F60"/>
    <w:rsid w:val="00A81950"/>
    <w:rsid w:val="00AE5F33"/>
    <w:rsid w:val="00B05DA2"/>
    <w:rsid w:val="00C443AB"/>
    <w:rsid w:val="00CB73A3"/>
    <w:rsid w:val="00D275C1"/>
    <w:rsid w:val="00D974C9"/>
    <w:rsid w:val="00DC0AA0"/>
    <w:rsid w:val="00DD6DF0"/>
    <w:rsid w:val="00E24217"/>
    <w:rsid w:val="00E31303"/>
    <w:rsid w:val="00E3558D"/>
    <w:rsid w:val="00E44E10"/>
    <w:rsid w:val="00E67297"/>
    <w:rsid w:val="00ED796B"/>
    <w:rsid w:val="00F40C2A"/>
    <w:rsid w:val="00F823AB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DCF2"/>
  <w15:chartTrackingRefBased/>
  <w15:docId w15:val="{5B1A7691-27D1-412D-B1EA-EC337A93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F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F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F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F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F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65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874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6238527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132469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9458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29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257750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8184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0016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5425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5272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1343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9338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7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ts.sdc@saht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ets.sdc@saht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ets.sdc@sahtu.ca" TargetMode="External"/><Relationship Id="rId5" Type="http://schemas.openxmlformats.org/officeDocument/2006/relationships/hyperlink" Target="http://www.sahtudenecouncil.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Davidson</dc:creator>
  <cp:keywords/>
  <dc:description/>
  <cp:lastModifiedBy>Brian Davidson</cp:lastModifiedBy>
  <cp:revision>3</cp:revision>
  <dcterms:created xsi:type="dcterms:W3CDTF">2024-02-07T21:39:00Z</dcterms:created>
  <dcterms:modified xsi:type="dcterms:W3CDTF">2024-04-12T14:26:00Z</dcterms:modified>
</cp:coreProperties>
</file>